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16" w:rsidRPr="00E03162" w:rsidRDefault="00936116" w:rsidP="00936116">
      <w:pPr>
        <w:spacing w:after="0" w:line="360" w:lineRule="auto"/>
        <w:jc w:val="center"/>
        <w:rPr>
          <w:rFonts w:ascii="Times New Roman" w:hAnsi="Times New Roman" w:cs="Times New Roman"/>
          <w:b/>
          <w:sz w:val="40"/>
          <w:szCs w:val="40"/>
          <w:lang w:val="bg-BG"/>
        </w:rPr>
      </w:pPr>
    </w:p>
    <w:p w:rsidR="00936116" w:rsidRDefault="00936116" w:rsidP="00936116">
      <w:pPr>
        <w:spacing w:after="0" w:line="360" w:lineRule="auto"/>
        <w:jc w:val="center"/>
        <w:rPr>
          <w:rFonts w:ascii="Times New Roman" w:hAnsi="Times New Roman" w:cs="Times New Roman"/>
          <w:b/>
          <w:sz w:val="40"/>
          <w:szCs w:val="40"/>
        </w:rPr>
      </w:pPr>
    </w:p>
    <w:p w:rsidR="00936116" w:rsidRDefault="00936116" w:rsidP="00936116">
      <w:pPr>
        <w:spacing w:after="0" w:line="360" w:lineRule="auto"/>
        <w:jc w:val="center"/>
        <w:rPr>
          <w:rFonts w:ascii="Times New Roman" w:hAnsi="Times New Roman" w:cs="Times New Roman"/>
          <w:b/>
          <w:sz w:val="40"/>
          <w:szCs w:val="40"/>
        </w:rPr>
      </w:pPr>
    </w:p>
    <w:p w:rsidR="00936116" w:rsidRPr="007D65B4" w:rsidRDefault="00936116" w:rsidP="00936116">
      <w:pPr>
        <w:spacing w:after="0" w:line="360" w:lineRule="auto"/>
        <w:jc w:val="center"/>
        <w:rPr>
          <w:rFonts w:ascii="Times New Roman" w:hAnsi="Times New Roman" w:cs="Times New Roman"/>
          <w:b/>
          <w:sz w:val="40"/>
          <w:szCs w:val="40"/>
          <w:lang w:val="bg-BG"/>
        </w:rPr>
      </w:pPr>
      <w:r w:rsidRPr="007D65B4">
        <w:rPr>
          <w:rFonts w:ascii="Times New Roman" w:hAnsi="Times New Roman" w:cs="Times New Roman"/>
          <w:b/>
          <w:sz w:val="40"/>
          <w:szCs w:val="40"/>
          <w:lang w:val="bg-BG"/>
        </w:rPr>
        <w:t>ГОДИШЕН МОНИТОРИНГОВ ДОКЛАД</w:t>
      </w:r>
    </w:p>
    <w:p w:rsidR="00936116" w:rsidRDefault="00936116" w:rsidP="00936116">
      <w:pPr>
        <w:spacing w:after="0" w:line="360" w:lineRule="auto"/>
        <w:jc w:val="center"/>
        <w:rPr>
          <w:rFonts w:ascii="Times New Roman" w:hAnsi="Times New Roman" w:cs="Times New Roman"/>
          <w:sz w:val="40"/>
          <w:szCs w:val="40"/>
        </w:rPr>
      </w:pPr>
      <w:r w:rsidRPr="007D65B4">
        <w:rPr>
          <w:rFonts w:ascii="Times New Roman" w:hAnsi="Times New Roman" w:cs="Times New Roman"/>
          <w:sz w:val="40"/>
          <w:szCs w:val="40"/>
          <w:lang w:val="bg-BG"/>
        </w:rPr>
        <w:t>ЗА 201</w:t>
      </w:r>
      <w:r w:rsidR="00B853E8">
        <w:rPr>
          <w:rFonts w:ascii="Times New Roman" w:hAnsi="Times New Roman" w:cs="Times New Roman"/>
          <w:sz w:val="40"/>
          <w:szCs w:val="40"/>
          <w:lang w:val="bg-BG"/>
        </w:rPr>
        <w:t>7</w:t>
      </w:r>
      <w:r w:rsidRPr="007D65B4">
        <w:rPr>
          <w:rFonts w:ascii="Times New Roman" w:hAnsi="Times New Roman" w:cs="Times New Roman"/>
          <w:sz w:val="40"/>
          <w:szCs w:val="40"/>
          <w:lang w:val="bg-BG"/>
        </w:rPr>
        <w:t xml:space="preserve"> г. </w:t>
      </w:r>
    </w:p>
    <w:p w:rsidR="00936116" w:rsidRPr="00936116" w:rsidRDefault="00936116" w:rsidP="00936116">
      <w:pPr>
        <w:spacing w:after="0" w:line="360" w:lineRule="auto"/>
        <w:jc w:val="center"/>
        <w:rPr>
          <w:rFonts w:ascii="Times New Roman" w:hAnsi="Times New Roman" w:cs="Times New Roman"/>
          <w:sz w:val="40"/>
          <w:szCs w:val="40"/>
        </w:rPr>
      </w:pPr>
    </w:p>
    <w:p w:rsidR="00936116" w:rsidRPr="007D65B4" w:rsidRDefault="00936116" w:rsidP="00936116">
      <w:pPr>
        <w:spacing w:after="0" w:line="360" w:lineRule="auto"/>
        <w:jc w:val="center"/>
        <w:rPr>
          <w:rFonts w:ascii="Times New Roman" w:hAnsi="Times New Roman" w:cs="Times New Roman"/>
          <w:b/>
          <w:sz w:val="40"/>
          <w:szCs w:val="40"/>
          <w:u w:val="single"/>
          <w:lang w:val="bg-BG"/>
        </w:rPr>
      </w:pPr>
      <w:r w:rsidRPr="007D65B4">
        <w:rPr>
          <w:rFonts w:ascii="Times New Roman" w:hAnsi="Times New Roman" w:cs="Times New Roman"/>
          <w:sz w:val="40"/>
          <w:szCs w:val="40"/>
          <w:lang w:val="bg-BG"/>
        </w:rPr>
        <w:t>ЗА ИЗПЪЛНЕНИЕТО НА НАЦИОНАЛНАТА СТРАТЕГИЯ НА РЕПУБЛИКА БЪЛ</w:t>
      </w:r>
      <w:r>
        <w:rPr>
          <w:rFonts w:ascii="Times New Roman" w:hAnsi="Times New Roman" w:cs="Times New Roman"/>
          <w:sz w:val="40"/>
          <w:szCs w:val="40"/>
          <w:lang w:val="bg-BG"/>
        </w:rPr>
        <w:t>ГАРИЯ ЗА ИНТЕГРИРАНЕ НА РОМИТЕ (2012-2020)</w:t>
      </w:r>
      <w:r w:rsidRPr="007D65B4">
        <w:rPr>
          <w:rFonts w:ascii="Times New Roman" w:hAnsi="Times New Roman" w:cs="Times New Roman"/>
          <w:sz w:val="40"/>
          <w:szCs w:val="40"/>
          <w:lang w:val="bg-BG"/>
        </w:rPr>
        <w:t xml:space="preserve"> </w:t>
      </w:r>
    </w:p>
    <w:p w:rsidR="00936116" w:rsidRDefault="00936116" w:rsidP="00936116">
      <w:pPr>
        <w:spacing w:after="0" w:line="360" w:lineRule="auto"/>
        <w:jc w:val="center"/>
        <w:rPr>
          <w:rFonts w:ascii="Times New Roman" w:hAnsi="Times New Roman" w:cs="Times New Roman"/>
          <w:sz w:val="40"/>
          <w:szCs w:val="40"/>
        </w:rPr>
      </w:pPr>
      <w:r w:rsidRPr="00936116">
        <w:rPr>
          <w:rFonts w:ascii="Times New Roman" w:hAnsi="Times New Roman" w:cs="Times New Roman"/>
          <w:sz w:val="40"/>
          <w:szCs w:val="40"/>
          <w:lang w:val="bg-BG"/>
        </w:rPr>
        <w:t>Област Ловеч</w:t>
      </w:r>
    </w:p>
    <w:p w:rsidR="00936116" w:rsidRDefault="00936116" w:rsidP="00936116">
      <w:pPr>
        <w:spacing w:after="0" w:line="360" w:lineRule="auto"/>
        <w:jc w:val="center"/>
        <w:rPr>
          <w:rFonts w:ascii="Times New Roman" w:hAnsi="Times New Roman" w:cs="Times New Roman"/>
          <w:sz w:val="40"/>
          <w:szCs w:val="40"/>
        </w:rPr>
      </w:pPr>
    </w:p>
    <w:p w:rsidR="00936116" w:rsidRDefault="00936116" w:rsidP="00936116">
      <w:pPr>
        <w:spacing w:after="0" w:line="360" w:lineRule="auto"/>
        <w:jc w:val="center"/>
        <w:rPr>
          <w:rFonts w:ascii="Times New Roman" w:hAnsi="Times New Roman" w:cs="Times New Roman"/>
          <w:sz w:val="40"/>
          <w:szCs w:val="40"/>
        </w:rPr>
      </w:pPr>
    </w:p>
    <w:p w:rsidR="00936116" w:rsidRDefault="00936116" w:rsidP="00936116">
      <w:pPr>
        <w:spacing w:after="0" w:line="360" w:lineRule="auto"/>
        <w:jc w:val="center"/>
        <w:rPr>
          <w:rFonts w:ascii="Times New Roman" w:hAnsi="Times New Roman" w:cs="Times New Roman"/>
          <w:sz w:val="40"/>
          <w:szCs w:val="40"/>
        </w:rPr>
      </w:pPr>
    </w:p>
    <w:p w:rsidR="00936116" w:rsidRDefault="00936116" w:rsidP="00936116">
      <w:pPr>
        <w:spacing w:after="0" w:line="360" w:lineRule="auto"/>
        <w:jc w:val="center"/>
        <w:rPr>
          <w:rFonts w:ascii="Times New Roman" w:hAnsi="Times New Roman" w:cs="Times New Roman"/>
          <w:sz w:val="40"/>
          <w:szCs w:val="40"/>
        </w:rPr>
      </w:pPr>
    </w:p>
    <w:p w:rsidR="00936116" w:rsidRDefault="00936116" w:rsidP="00936116">
      <w:pPr>
        <w:spacing w:after="0" w:line="360" w:lineRule="auto"/>
        <w:jc w:val="center"/>
        <w:rPr>
          <w:rFonts w:ascii="Times New Roman" w:hAnsi="Times New Roman" w:cs="Times New Roman"/>
          <w:sz w:val="40"/>
          <w:szCs w:val="40"/>
        </w:rPr>
      </w:pPr>
    </w:p>
    <w:p w:rsidR="00936116" w:rsidRDefault="00936116" w:rsidP="00936116">
      <w:pPr>
        <w:spacing w:after="0" w:line="360" w:lineRule="auto"/>
        <w:jc w:val="center"/>
        <w:rPr>
          <w:rFonts w:ascii="Times New Roman" w:hAnsi="Times New Roman" w:cs="Times New Roman"/>
          <w:sz w:val="40"/>
          <w:szCs w:val="40"/>
        </w:rPr>
      </w:pPr>
    </w:p>
    <w:p w:rsidR="00936116" w:rsidRDefault="00936116" w:rsidP="00936116">
      <w:pPr>
        <w:spacing w:after="0" w:line="360" w:lineRule="auto"/>
        <w:jc w:val="center"/>
        <w:rPr>
          <w:rFonts w:ascii="Times New Roman" w:hAnsi="Times New Roman" w:cs="Times New Roman"/>
          <w:sz w:val="40"/>
          <w:szCs w:val="40"/>
        </w:rPr>
      </w:pPr>
    </w:p>
    <w:p w:rsidR="00936116" w:rsidRPr="007D65B4" w:rsidRDefault="00B853E8" w:rsidP="00936116">
      <w:pPr>
        <w:spacing w:after="0" w:line="240" w:lineRule="auto"/>
        <w:jc w:val="center"/>
        <w:rPr>
          <w:rFonts w:ascii="Times New Roman" w:hAnsi="Times New Roman" w:cs="Times New Roman"/>
          <w:i/>
          <w:sz w:val="32"/>
          <w:szCs w:val="32"/>
          <w:lang w:val="bg-BG"/>
        </w:rPr>
      </w:pPr>
      <w:r>
        <w:rPr>
          <w:rFonts w:ascii="Times New Roman" w:hAnsi="Times New Roman" w:cs="Times New Roman"/>
          <w:i/>
          <w:sz w:val="32"/>
          <w:szCs w:val="32"/>
          <w:lang w:val="bg-BG"/>
        </w:rPr>
        <w:t>Януари</w:t>
      </w:r>
      <w:r w:rsidR="00936116" w:rsidRPr="007D65B4">
        <w:rPr>
          <w:rFonts w:ascii="Times New Roman" w:hAnsi="Times New Roman" w:cs="Times New Roman"/>
          <w:i/>
          <w:sz w:val="32"/>
          <w:szCs w:val="32"/>
          <w:lang w:val="bg-BG"/>
        </w:rPr>
        <w:t xml:space="preserve"> 201</w:t>
      </w:r>
      <w:r>
        <w:rPr>
          <w:rFonts w:ascii="Times New Roman" w:hAnsi="Times New Roman" w:cs="Times New Roman"/>
          <w:i/>
          <w:sz w:val="32"/>
          <w:szCs w:val="32"/>
          <w:lang w:val="bg-BG"/>
        </w:rPr>
        <w:t>8</w:t>
      </w:r>
      <w:r w:rsidR="00936116" w:rsidRPr="007D65B4">
        <w:rPr>
          <w:rFonts w:ascii="Times New Roman" w:hAnsi="Times New Roman" w:cs="Times New Roman"/>
          <w:i/>
          <w:sz w:val="32"/>
          <w:szCs w:val="32"/>
          <w:lang w:val="bg-BG"/>
        </w:rPr>
        <w:t xml:space="preserve"> г.</w:t>
      </w:r>
    </w:p>
    <w:p w:rsidR="00936116" w:rsidRPr="00936116" w:rsidRDefault="00936116" w:rsidP="00936116">
      <w:pPr>
        <w:spacing w:after="0" w:line="360" w:lineRule="auto"/>
        <w:jc w:val="center"/>
        <w:rPr>
          <w:rFonts w:ascii="Times New Roman" w:hAnsi="Times New Roman" w:cs="Times New Roman"/>
          <w:sz w:val="40"/>
          <w:szCs w:val="40"/>
        </w:rPr>
      </w:pPr>
    </w:p>
    <w:p w:rsidR="001E274A" w:rsidRPr="007D65B4" w:rsidRDefault="001E274A" w:rsidP="001E274A">
      <w:pPr>
        <w:spacing w:after="0" w:line="240" w:lineRule="auto"/>
        <w:jc w:val="center"/>
        <w:rPr>
          <w:rFonts w:ascii="Times New Roman" w:hAnsi="Times New Roman" w:cs="Times New Roman"/>
          <w:b/>
          <w:sz w:val="32"/>
          <w:szCs w:val="32"/>
          <w:lang w:val="bg-BG"/>
        </w:rPr>
      </w:pPr>
      <w:r w:rsidRPr="007D65B4">
        <w:rPr>
          <w:rFonts w:ascii="Times New Roman" w:hAnsi="Times New Roman" w:cs="Times New Roman"/>
          <w:b/>
          <w:sz w:val="32"/>
          <w:szCs w:val="32"/>
          <w:lang w:val="bg-BG"/>
        </w:rPr>
        <w:lastRenderedPageBreak/>
        <w:t>СЪДЪРЖАНИЕ:</w:t>
      </w:r>
    </w:p>
    <w:p w:rsidR="001E274A" w:rsidRPr="007D65B4" w:rsidRDefault="001E274A" w:rsidP="001E274A">
      <w:pPr>
        <w:spacing w:after="0" w:line="240" w:lineRule="auto"/>
        <w:jc w:val="center"/>
        <w:rPr>
          <w:rFonts w:ascii="Times New Roman" w:hAnsi="Times New Roman" w:cs="Times New Roman"/>
          <w:b/>
          <w:sz w:val="36"/>
          <w:szCs w:val="36"/>
          <w:lang w:val="bg-BG"/>
        </w:rPr>
      </w:pPr>
    </w:p>
    <w:p w:rsidR="001E274A" w:rsidRPr="007D65B4" w:rsidRDefault="001E274A" w:rsidP="001E274A">
      <w:pPr>
        <w:spacing w:after="0" w:line="240" w:lineRule="auto"/>
        <w:rPr>
          <w:rFonts w:ascii="Times New Roman" w:hAnsi="Times New Roman" w:cs="Times New Roman"/>
          <w:b/>
          <w:sz w:val="36"/>
          <w:szCs w:val="36"/>
          <w:lang w:val="bg-BG"/>
        </w:rPr>
      </w:pPr>
    </w:p>
    <w:p w:rsidR="001E274A" w:rsidRPr="007D65B4" w:rsidRDefault="001E274A" w:rsidP="001E274A">
      <w:pPr>
        <w:spacing w:after="0" w:line="240" w:lineRule="auto"/>
        <w:rPr>
          <w:rFonts w:ascii="Times New Roman" w:hAnsi="Times New Roman" w:cs="Times New Roman"/>
          <w:b/>
          <w:sz w:val="36"/>
          <w:szCs w:val="36"/>
          <w:lang w:val="bg-BG"/>
        </w:rPr>
      </w:pPr>
    </w:p>
    <w:p w:rsidR="001E274A" w:rsidRPr="007D65B4" w:rsidRDefault="001E274A" w:rsidP="001E274A">
      <w:pPr>
        <w:spacing w:after="0" w:line="240" w:lineRule="auto"/>
        <w:rPr>
          <w:rFonts w:ascii="Times New Roman" w:hAnsi="Times New Roman" w:cs="Times New Roman"/>
          <w:b/>
          <w:sz w:val="36"/>
          <w:szCs w:val="36"/>
          <w:lang w:val="bg-BG"/>
        </w:rPr>
      </w:pPr>
    </w:p>
    <w:p w:rsidR="001E274A" w:rsidRDefault="001E274A" w:rsidP="008B2893">
      <w:pPr>
        <w:spacing w:after="0" w:line="480" w:lineRule="auto"/>
        <w:rPr>
          <w:rFonts w:ascii="Times New Roman" w:hAnsi="Times New Roman" w:cs="Times New Roman"/>
          <w:b/>
          <w:sz w:val="28"/>
          <w:szCs w:val="28"/>
          <w:lang w:val="bg-BG"/>
        </w:rPr>
      </w:pPr>
      <w:r w:rsidRPr="007D65B4">
        <w:rPr>
          <w:rFonts w:ascii="Times New Roman" w:hAnsi="Times New Roman" w:cs="Times New Roman"/>
          <w:b/>
          <w:sz w:val="28"/>
          <w:szCs w:val="28"/>
          <w:lang w:val="bg-BG"/>
        </w:rPr>
        <w:t>ВЪВЕДЕНИЕ</w:t>
      </w:r>
    </w:p>
    <w:p w:rsidR="00E03106" w:rsidRDefault="008B2893" w:rsidP="008B2893">
      <w:pPr>
        <w:spacing w:after="0" w:line="480" w:lineRule="auto"/>
        <w:rPr>
          <w:rFonts w:ascii="Times New Roman" w:hAnsi="Times New Roman" w:cs="Times New Roman"/>
          <w:b/>
          <w:sz w:val="28"/>
          <w:szCs w:val="28"/>
          <w:lang w:val="bg-BG"/>
        </w:rPr>
      </w:pPr>
      <w:r>
        <w:rPr>
          <w:rFonts w:ascii="Times New Roman" w:hAnsi="Times New Roman" w:cs="Times New Roman"/>
          <w:b/>
          <w:sz w:val="28"/>
          <w:szCs w:val="28"/>
          <w:lang w:val="bg-BG"/>
        </w:rPr>
        <w:t xml:space="preserve">І </w:t>
      </w:r>
      <w:r w:rsidR="00E03106">
        <w:rPr>
          <w:rFonts w:ascii="Times New Roman" w:hAnsi="Times New Roman" w:cs="Times New Roman"/>
          <w:b/>
          <w:sz w:val="28"/>
          <w:szCs w:val="28"/>
          <w:lang w:val="bg-BG"/>
        </w:rPr>
        <w:t>Отчет на областта</w:t>
      </w:r>
    </w:p>
    <w:p w:rsidR="00E03106" w:rsidRPr="008B2893" w:rsidRDefault="00E03106" w:rsidP="004C1FE0">
      <w:pPr>
        <w:pStyle w:val="ListParagraph"/>
        <w:numPr>
          <w:ilvl w:val="0"/>
          <w:numId w:val="1"/>
        </w:numPr>
        <w:spacing w:after="0" w:line="240" w:lineRule="auto"/>
        <w:ind w:left="0" w:hanging="11"/>
        <w:rPr>
          <w:rFonts w:ascii="Times New Roman" w:hAnsi="Times New Roman" w:cs="Times New Roman"/>
          <w:b/>
          <w:sz w:val="28"/>
          <w:szCs w:val="28"/>
          <w:lang w:val="bg-BG"/>
        </w:rPr>
      </w:pPr>
      <w:r w:rsidRPr="008B2893">
        <w:rPr>
          <w:rFonts w:ascii="Times New Roman" w:hAnsi="Times New Roman" w:cs="Times New Roman"/>
          <w:b/>
          <w:sz w:val="28"/>
          <w:szCs w:val="28"/>
          <w:lang w:val="bg-BG"/>
        </w:rPr>
        <w:t xml:space="preserve">Оценка за напредъка по изпълнение приоритетите </w:t>
      </w:r>
      <w:r w:rsidR="008B2893" w:rsidRPr="008B2893">
        <w:rPr>
          <w:rFonts w:ascii="Times New Roman" w:hAnsi="Times New Roman" w:cs="Times New Roman"/>
          <w:b/>
          <w:sz w:val="28"/>
          <w:szCs w:val="28"/>
          <w:lang w:val="bg-BG"/>
        </w:rPr>
        <w:t xml:space="preserve">от областната стратегия за интеграция на ромите </w:t>
      </w:r>
    </w:p>
    <w:p w:rsidR="008B2893" w:rsidRDefault="008B2893" w:rsidP="008B2893">
      <w:pPr>
        <w:spacing w:after="0" w:line="240" w:lineRule="auto"/>
        <w:ind w:hanging="11"/>
        <w:contextualSpacing/>
        <w:rPr>
          <w:rFonts w:ascii="Times New Roman" w:hAnsi="Times New Roman" w:cs="Times New Roman"/>
          <w:b/>
          <w:sz w:val="28"/>
          <w:szCs w:val="28"/>
          <w:lang w:val="bg-BG"/>
        </w:rPr>
      </w:pPr>
    </w:p>
    <w:p w:rsidR="008B2893" w:rsidRDefault="008B2893" w:rsidP="004C1FE0">
      <w:pPr>
        <w:pStyle w:val="ListParagraph"/>
        <w:numPr>
          <w:ilvl w:val="0"/>
          <w:numId w:val="1"/>
        </w:numPr>
        <w:spacing w:after="0" w:line="240" w:lineRule="auto"/>
        <w:ind w:left="0" w:hanging="11"/>
        <w:rPr>
          <w:rFonts w:ascii="Times New Roman" w:hAnsi="Times New Roman" w:cs="Times New Roman"/>
          <w:b/>
          <w:sz w:val="28"/>
          <w:szCs w:val="28"/>
          <w:lang w:val="bg-BG"/>
        </w:rPr>
      </w:pPr>
      <w:r w:rsidRPr="008B2893">
        <w:rPr>
          <w:rFonts w:ascii="Times New Roman" w:hAnsi="Times New Roman" w:cs="Times New Roman"/>
          <w:b/>
          <w:sz w:val="28"/>
          <w:szCs w:val="28"/>
          <w:lang w:val="bg-BG"/>
        </w:rPr>
        <w:t>Извършена дейност от областният съвет за сътрудничество по етническите и интеграционни въпроси за 2017 г.</w:t>
      </w:r>
    </w:p>
    <w:p w:rsidR="008B2893" w:rsidRDefault="008B2893" w:rsidP="008B2893">
      <w:pPr>
        <w:pStyle w:val="ListParagraph"/>
        <w:spacing w:after="0" w:line="240" w:lineRule="auto"/>
        <w:ind w:left="0"/>
        <w:rPr>
          <w:rFonts w:ascii="Times New Roman" w:hAnsi="Times New Roman" w:cs="Times New Roman"/>
          <w:b/>
          <w:sz w:val="28"/>
          <w:szCs w:val="28"/>
          <w:lang w:val="bg-BG"/>
        </w:rPr>
      </w:pPr>
    </w:p>
    <w:p w:rsidR="008B2893" w:rsidRPr="008B2893" w:rsidRDefault="008B2893" w:rsidP="008B2893">
      <w:pPr>
        <w:pStyle w:val="ListParagraph"/>
        <w:spacing w:after="0" w:line="240" w:lineRule="auto"/>
        <w:ind w:left="0"/>
        <w:rPr>
          <w:rFonts w:ascii="Times New Roman" w:hAnsi="Times New Roman" w:cs="Times New Roman"/>
          <w:b/>
          <w:sz w:val="28"/>
          <w:szCs w:val="28"/>
          <w:lang w:val="bg-BG"/>
        </w:rPr>
      </w:pPr>
      <w:r>
        <w:rPr>
          <w:rFonts w:ascii="Times New Roman" w:hAnsi="Times New Roman" w:cs="Times New Roman"/>
          <w:b/>
          <w:sz w:val="28"/>
          <w:szCs w:val="28"/>
          <w:lang w:val="bg-BG"/>
        </w:rPr>
        <w:t>ІІ Отчет на общините</w:t>
      </w:r>
    </w:p>
    <w:p w:rsidR="00E03106" w:rsidRDefault="00E03106" w:rsidP="001E274A">
      <w:pPr>
        <w:spacing w:after="0" w:line="480" w:lineRule="auto"/>
        <w:ind w:firstLine="360"/>
        <w:rPr>
          <w:rFonts w:ascii="Times New Roman" w:hAnsi="Times New Roman" w:cs="Times New Roman"/>
          <w:b/>
          <w:sz w:val="28"/>
          <w:szCs w:val="28"/>
          <w:lang w:val="bg-BG"/>
        </w:rPr>
      </w:pPr>
    </w:p>
    <w:p w:rsidR="001E274A" w:rsidRDefault="001E274A" w:rsidP="008B2893">
      <w:pPr>
        <w:spacing w:after="0" w:line="480" w:lineRule="auto"/>
        <w:ind w:left="360" w:hanging="360"/>
        <w:rPr>
          <w:rFonts w:ascii="Times New Roman" w:hAnsi="Times New Roman" w:cs="Times New Roman"/>
          <w:b/>
          <w:sz w:val="28"/>
          <w:szCs w:val="28"/>
          <w:lang w:val="bg-BG"/>
        </w:rPr>
      </w:pPr>
      <w:r w:rsidRPr="007D65B4">
        <w:rPr>
          <w:rFonts w:ascii="Times New Roman" w:hAnsi="Times New Roman" w:cs="Times New Roman"/>
          <w:b/>
          <w:sz w:val="28"/>
          <w:szCs w:val="28"/>
          <w:lang w:val="bg-BG"/>
        </w:rPr>
        <w:t>ЗАКЛЮЧЕНИЕ</w:t>
      </w:r>
      <w:r w:rsidR="00DD61DC">
        <w:rPr>
          <w:rFonts w:ascii="Times New Roman" w:hAnsi="Times New Roman" w:cs="Times New Roman"/>
          <w:b/>
          <w:sz w:val="28"/>
          <w:szCs w:val="28"/>
          <w:lang w:val="bg-BG"/>
        </w:rPr>
        <w:t xml:space="preserve"> </w:t>
      </w:r>
    </w:p>
    <w:p w:rsidR="00461C41" w:rsidRDefault="00461C41" w:rsidP="001E274A">
      <w:pPr>
        <w:spacing w:after="0" w:line="480" w:lineRule="auto"/>
        <w:ind w:left="360"/>
        <w:rPr>
          <w:rFonts w:ascii="Times New Roman" w:hAnsi="Times New Roman" w:cs="Times New Roman"/>
          <w:b/>
          <w:sz w:val="28"/>
          <w:szCs w:val="28"/>
        </w:rPr>
      </w:pPr>
    </w:p>
    <w:p w:rsidR="00A03FBD" w:rsidRDefault="00A03FBD" w:rsidP="001E274A">
      <w:pPr>
        <w:spacing w:after="0" w:line="480" w:lineRule="auto"/>
        <w:ind w:left="360"/>
        <w:rPr>
          <w:rFonts w:ascii="Times New Roman" w:hAnsi="Times New Roman" w:cs="Times New Roman"/>
          <w:b/>
          <w:sz w:val="28"/>
          <w:szCs w:val="28"/>
        </w:rPr>
      </w:pPr>
    </w:p>
    <w:p w:rsidR="00A03FBD" w:rsidRDefault="00A03FBD" w:rsidP="001E274A">
      <w:pPr>
        <w:spacing w:after="0" w:line="480" w:lineRule="auto"/>
        <w:ind w:left="360"/>
        <w:rPr>
          <w:rFonts w:ascii="Times New Roman" w:hAnsi="Times New Roman" w:cs="Times New Roman"/>
          <w:b/>
          <w:sz w:val="28"/>
          <w:szCs w:val="28"/>
        </w:rPr>
      </w:pPr>
    </w:p>
    <w:p w:rsidR="00A03FBD" w:rsidRDefault="00A03FBD" w:rsidP="001E274A">
      <w:pPr>
        <w:spacing w:after="0" w:line="480" w:lineRule="auto"/>
        <w:ind w:left="360"/>
        <w:rPr>
          <w:rFonts w:ascii="Times New Roman" w:hAnsi="Times New Roman" w:cs="Times New Roman"/>
          <w:b/>
          <w:sz w:val="28"/>
          <w:szCs w:val="28"/>
        </w:rPr>
      </w:pPr>
    </w:p>
    <w:p w:rsidR="00A03FBD" w:rsidRDefault="00A03FBD" w:rsidP="001E274A">
      <w:pPr>
        <w:spacing w:after="0" w:line="480" w:lineRule="auto"/>
        <w:ind w:left="360"/>
        <w:rPr>
          <w:rFonts w:ascii="Times New Roman" w:hAnsi="Times New Roman" w:cs="Times New Roman"/>
          <w:b/>
          <w:sz w:val="28"/>
          <w:szCs w:val="28"/>
        </w:rPr>
      </w:pPr>
    </w:p>
    <w:p w:rsidR="00A03FBD" w:rsidRDefault="00A03FBD" w:rsidP="001E274A">
      <w:pPr>
        <w:spacing w:after="0" w:line="480" w:lineRule="auto"/>
        <w:ind w:left="360"/>
        <w:rPr>
          <w:rFonts w:ascii="Times New Roman" w:hAnsi="Times New Roman" w:cs="Times New Roman"/>
          <w:b/>
          <w:sz w:val="28"/>
          <w:szCs w:val="28"/>
        </w:rPr>
      </w:pPr>
    </w:p>
    <w:p w:rsidR="00A03FBD" w:rsidRDefault="00A03FBD" w:rsidP="001E274A">
      <w:pPr>
        <w:spacing w:after="0" w:line="480" w:lineRule="auto"/>
        <w:ind w:left="360"/>
        <w:rPr>
          <w:rFonts w:ascii="Times New Roman" w:hAnsi="Times New Roman" w:cs="Times New Roman"/>
          <w:b/>
          <w:sz w:val="28"/>
          <w:szCs w:val="28"/>
          <w:lang w:val="bg-BG"/>
        </w:rPr>
      </w:pPr>
    </w:p>
    <w:p w:rsidR="007B04E3" w:rsidRDefault="007B04E3" w:rsidP="001E274A">
      <w:pPr>
        <w:spacing w:after="0" w:line="480" w:lineRule="auto"/>
        <w:ind w:left="360"/>
        <w:rPr>
          <w:rFonts w:ascii="Times New Roman" w:hAnsi="Times New Roman" w:cs="Times New Roman"/>
          <w:b/>
          <w:sz w:val="28"/>
          <w:szCs w:val="28"/>
          <w:lang w:val="bg-BG"/>
        </w:rPr>
      </w:pPr>
    </w:p>
    <w:p w:rsidR="007B04E3" w:rsidRPr="007B04E3" w:rsidRDefault="007B04E3" w:rsidP="001E274A">
      <w:pPr>
        <w:spacing w:after="0" w:line="480" w:lineRule="auto"/>
        <w:ind w:left="360"/>
        <w:rPr>
          <w:rFonts w:ascii="Times New Roman" w:hAnsi="Times New Roman" w:cs="Times New Roman"/>
          <w:b/>
          <w:sz w:val="28"/>
          <w:szCs w:val="28"/>
          <w:lang w:val="bg-BG"/>
        </w:rPr>
      </w:pPr>
    </w:p>
    <w:p w:rsidR="00A03FBD" w:rsidRPr="00A03FBD" w:rsidRDefault="00A03FBD" w:rsidP="001E274A">
      <w:pPr>
        <w:spacing w:after="0" w:line="480" w:lineRule="auto"/>
        <w:ind w:left="360"/>
        <w:rPr>
          <w:rFonts w:ascii="Times New Roman" w:hAnsi="Times New Roman" w:cs="Times New Roman"/>
          <w:b/>
          <w:sz w:val="28"/>
          <w:szCs w:val="28"/>
        </w:rPr>
      </w:pPr>
    </w:p>
    <w:p w:rsidR="003402E9" w:rsidRDefault="003402E9" w:rsidP="003402E9">
      <w:pPr>
        <w:spacing w:after="0" w:line="240" w:lineRule="auto"/>
        <w:jc w:val="both"/>
        <w:rPr>
          <w:rFonts w:ascii="Times New Roman" w:hAnsi="Times New Roman" w:cs="Times New Roman"/>
          <w:b/>
          <w:sz w:val="24"/>
          <w:szCs w:val="24"/>
          <w:lang w:val="bg-BG"/>
        </w:rPr>
      </w:pPr>
      <w:r w:rsidRPr="007D65B4">
        <w:rPr>
          <w:rFonts w:ascii="Times New Roman" w:hAnsi="Times New Roman" w:cs="Times New Roman"/>
          <w:b/>
          <w:sz w:val="24"/>
          <w:szCs w:val="24"/>
          <w:lang w:val="bg-BG"/>
        </w:rPr>
        <w:t>ВЪВЕДЕНИЕ</w:t>
      </w:r>
    </w:p>
    <w:p w:rsidR="007B04E3" w:rsidRDefault="007B04E3" w:rsidP="003402E9">
      <w:pPr>
        <w:spacing w:after="0" w:line="240" w:lineRule="auto"/>
        <w:jc w:val="both"/>
        <w:rPr>
          <w:rFonts w:ascii="Times New Roman" w:hAnsi="Times New Roman" w:cs="Times New Roman"/>
          <w:b/>
          <w:sz w:val="24"/>
          <w:szCs w:val="24"/>
          <w:lang w:val="bg-BG"/>
        </w:rPr>
      </w:pPr>
    </w:p>
    <w:p w:rsidR="007B04E3" w:rsidRPr="007B04E3" w:rsidRDefault="007B04E3" w:rsidP="007B04E3">
      <w:pPr>
        <w:spacing w:after="0" w:line="240" w:lineRule="auto"/>
        <w:jc w:val="both"/>
        <w:rPr>
          <w:rFonts w:ascii="Times New Roman" w:hAnsi="Times New Roman" w:cs="Times New Roman"/>
          <w:bCs/>
          <w:sz w:val="24"/>
          <w:szCs w:val="24"/>
          <w:lang w:val="bg-BG"/>
        </w:rPr>
      </w:pPr>
      <w:r w:rsidRPr="007B04E3">
        <w:rPr>
          <w:rFonts w:ascii="Times New Roman" w:hAnsi="Times New Roman" w:cs="Times New Roman"/>
          <w:bCs/>
          <w:sz w:val="24"/>
          <w:szCs w:val="24"/>
          <w:lang w:val="bg-BG"/>
        </w:rPr>
        <w:t xml:space="preserve">Настоящият </w:t>
      </w:r>
      <w:proofErr w:type="spellStart"/>
      <w:r w:rsidRPr="007B04E3">
        <w:rPr>
          <w:rFonts w:ascii="Times New Roman" w:hAnsi="Times New Roman" w:cs="Times New Roman"/>
          <w:bCs/>
          <w:sz w:val="24"/>
          <w:szCs w:val="24"/>
          <w:lang w:val="bg-BG"/>
        </w:rPr>
        <w:t>мониторингов</w:t>
      </w:r>
      <w:proofErr w:type="spellEnd"/>
      <w:r w:rsidRPr="007B04E3">
        <w:rPr>
          <w:rFonts w:ascii="Times New Roman" w:hAnsi="Times New Roman" w:cs="Times New Roman"/>
          <w:bCs/>
          <w:sz w:val="24"/>
          <w:szCs w:val="24"/>
          <w:lang w:val="bg-BG"/>
        </w:rPr>
        <w:t xml:space="preserve"> доклад е </w:t>
      </w:r>
      <w:r>
        <w:rPr>
          <w:rFonts w:ascii="Times New Roman" w:hAnsi="Times New Roman" w:cs="Times New Roman"/>
          <w:bCs/>
          <w:sz w:val="24"/>
          <w:szCs w:val="24"/>
          <w:lang w:val="bg-BG"/>
        </w:rPr>
        <w:t>четвъртият</w:t>
      </w:r>
      <w:r w:rsidRPr="007B04E3">
        <w:rPr>
          <w:rFonts w:ascii="Times New Roman" w:hAnsi="Times New Roman" w:cs="Times New Roman"/>
          <w:bCs/>
          <w:sz w:val="24"/>
          <w:szCs w:val="24"/>
          <w:lang w:val="bg-BG"/>
        </w:rPr>
        <w:t xml:space="preserve"> документ след изготвяне на Стратегията на област Ловеч за интегриране на ромите (2012-2020) (Стратегията).</w:t>
      </w:r>
    </w:p>
    <w:p w:rsidR="007B04E3" w:rsidRPr="007B04E3" w:rsidRDefault="007B04E3" w:rsidP="007B04E3">
      <w:pPr>
        <w:spacing w:after="0" w:line="240" w:lineRule="auto"/>
        <w:jc w:val="both"/>
        <w:rPr>
          <w:rFonts w:ascii="Times New Roman" w:hAnsi="Times New Roman" w:cs="Times New Roman"/>
          <w:bCs/>
          <w:sz w:val="24"/>
          <w:szCs w:val="24"/>
          <w:lang w:val="bg-BG"/>
        </w:rPr>
      </w:pPr>
      <w:r w:rsidRPr="007B04E3">
        <w:rPr>
          <w:rFonts w:ascii="Times New Roman" w:hAnsi="Times New Roman" w:cs="Times New Roman"/>
          <w:bCs/>
          <w:sz w:val="24"/>
          <w:szCs w:val="24"/>
          <w:lang w:val="bg-BG"/>
        </w:rPr>
        <w:t xml:space="preserve">Стратегията е документ, задаващ насоките за изпълнение на политиката за социална интеграция на ромите на областно ниво и е приета в изпълнение на Националната стратегия на Република България за интегриране на ромите (2012-2020), приета с Решение на Народното събрание на 01.03.2012 г. </w:t>
      </w:r>
    </w:p>
    <w:p w:rsidR="007B04E3" w:rsidRPr="007B04E3" w:rsidRDefault="007B04E3" w:rsidP="007B04E3">
      <w:pPr>
        <w:spacing w:after="0" w:line="240" w:lineRule="auto"/>
        <w:jc w:val="both"/>
        <w:rPr>
          <w:rFonts w:ascii="Times New Roman" w:hAnsi="Times New Roman" w:cs="Times New Roman"/>
          <w:bCs/>
          <w:sz w:val="24"/>
          <w:szCs w:val="24"/>
          <w:lang w:val="bg-BG"/>
        </w:rPr>
      </w:pPr>
      <w:r w:rsidRPr="007B04E3">
        <w:rPr>
          <w:rFonts w:ascii="Times New Roman" w:hAnsi="Times New Roman" w:cs="Times New Roman"/>
          <w:bCs/>
          <w:sz w:val="24"/>
          <w:szCs w:val="24"/>
          <w:lang w:val="bg-BG"/>
        </w:rPr>
        <w:t xml:space="preserve">Стратегията е насочена към гражданите в уязвимо социално положение от ромски произход, но не изключва предоставянето на подкрепа и за лица в неравностойно положение от други етнически групи. </w:t>
      </w:r>
    </w:p>
    <w:p w:rsidR="007B04E3" w:rsidRPr="007B04E3" w:rsidRDefault="007B04E3" w:rsidP="007B04E3">
      <w:pPr>
        <w:spacing w:after="0" w:line="240" w:lineRule="auto"/>
        <w:jc w:val="both"/>
        <w:rPr>
          <w:rFonts w:ascii="Times New Roman" w:hAnsi="Times New Roman" w:cs="Times New Roman"/>
          <w:bCs/>
          <w:sz w:val="24"/>
          <w:szCs w:val="24"/>
          <w:lang w:val="bg-BG"/>
        </w:rPr>
      </w:pPr>
      <w:r w:rsidRPr="007B04E3">
        <w:rPr>
          <w:rFonts w:ascii="Times New Roman" w:hAnsi="Times New Roman" w:cs="Times New Roman"/>
          <w:bCs/>
          <w:sz w:val="24"/>
          <w:szCs w:val="24"/>
          <w:lang w:val="bg-BG"/>
        </w:rPr>
        <w:t>Стратегията на област Ловеч за интегриране на ромите (2012-2020) е приета на Областен съвет за сътрудничество по етнически и интеграционни въпроси през м. февруари 2013 г.</w:t>
      </w:r>
    </w:p>
    <w:p w:rsidR="001D139A" w:rsidRPr="001D139A" w:rsidRDefault="001D139A" w:rsidP="001D139A">
      <w:pPr>
        <w:spacing w:after="0" w:line="240" w:lineRule="auto"/>
        <w:jc w:val="both"/>
        <w:rPr>
          <w:rFonts w:ascii="Times New Roman" w:hAnsi="Times New Roman" w:cs="Times New Roman"/>
          <w:bCs/>
          <w:sz w:val="24"/>
          <w:szCs w:val="24"/>
          <w:lang w:val="bg-BG"/>
        </w:rPr>
      </w:pPr>
      <w:r w:rsidRPr="001D139A">
        <w:rPr>
          <w:rFonts w:ascii="Times New Roman" w:hAnsi="Times New Roman" w:cs="Times New Roman"/>
          <w:bCs/>
          <w:sz w:val="24"/>
          <w:szCs w:val="24"/>
          <w:lang w:val="bg-BG"/>
        </w:rPr>
        <w:t>Областния съвет за сътрудничество по етническите и интеграционните въпроси /ОССЕИВ/ е правоприемник на у</w:t>
      </w:r>
      <w:r w:rsidR="00E03162">
        <w:rPr>
          <w:rFonts w:ascii="Times New Roman" w:hAnsi="Times New Roman" w:cs="Times New Roman"/>
          <w:bCs/>
          <w:sz w:val="24"/>
          <w:szCs w:val="24"/>
          <w:lang w:val="bg-BG"/>
        </w:rPr>
        <w:t>ч</w:t>
      </w:r>
      <w:r w:rsidRPr="001D139A">
        <w:rPr>
          <w:rFonts w:ascii="Times New Roman" w:hAnsi="Times New Roman" w:cs="Times New Roman"/>
          <w:bCs/>
          <w:sz w:val="24"/>
          <w:szCs w:val="24"/>
          <w:lang w:val="bg-BG"/>
        </w:rPr>
        <w:t>редения през 2010 г. Областен съвет за сътрудничество по етнически и демографски въпроси. Промяната е извършена на основание ПМС № 92/2011 г. В работата му участват представители на общините, териториалните звена на централната изпълнителна власт – РДСП, РЗИ, РИО на МОН, ТСБ, РСЗ, граждански организации и др.</w:t>
      </w:r>
    </w:p>
    <w:p w:rsidR="001D139A" w:rsidRPr="001D139A" w:rsidRDefault="001D139A" w:rsidP="001D139A">
      <w:pPr>
        <w:spacing w:after="0" w:line="240" w:lineRule="auto"/>
        <w:jc w:val="both"/>
        <w:rPr>
          <w:rFonts w:ascii="Times New Roman" w:hAnsi="Times New Roman" w:cs="Times New Roman"/>
          <w:bCs/>
          <w:sz w:val="24"/>
          <w:szCs w:val="24"/>
          <w:lang w:val="bg-BG"/>
        </w:rPr>
      </w:pPr>
      <w:r w:rsidRPr="001D139A">
        <w:rPr>
          <w:rFonts w:ascii="Times New Roman" w:hAnsi="Times New Roman" w:cs="Times New Roman"/>
          <w:bCs/>
          <w:sz w:val="24"/>
          <w:szCs w:val="24"/>
          <w:lang w:val="bg-BG"/>
        </w:rPr>
        <w:t>ОССЕИВ е консултативен и координиращ орган, подпомагащ областния управител при провеждане политиката по етническите и интеграционните въпроси. Дейността му е регламентирана с приетите през 2011 г. правила за работа. Със заповед на Областния управител на област Ловеч е определен поименния състав на ОССЕИВ.</w:t>
      </w:r>
    </w:p>
    <w:p w:rsidR="003402E9" w:rsidRPr="007D65B4" w:rsidRDefault="003402E9" w:rsidP="003402E9">
      <w:pPr>
        <w:spacing w:after="0" w:line="240" w:lineRule="auto"/>
        <w:jc w:val="both"/>
        <w:rPr>
          <w:rFonts w:ascii="Times New Roman" w:hAnsi="Times New Roman" w:cs="Times New Roman"/>
          <w:sz w:val="24"/>
          <w:szCs w:val="24"/>
          <w:lang w:val="bg-BG"/>
        </w:rPr>
      </w:pPr>
    </w:p>
    <w:p w:rsidR="008B2893" w:rsidRPr="008B2893" w:rsidRDefault="008B2893" w:rsidP="008B2893">
      <w:pPr>
        <w:pStyle w:val="ListParagraph"/>
        <w:spacing w:line="240" w:lineRule="auto"/>
        <w:ind w:left="0"/>
        <w:jc w:val="both"/>
        <w:rPr>
          <w:rFonts w:ascii="Times New Roman" w:hAnsi="Times New Roman" w:cs="Times New Roman"/>
          <w:b/>
          <w:sz w:val="28"/>
          <w:szCs w:val="28"/>
          <w:lang w:val="bg-BG"/>
        </w:rPr>
      </w:pPr>
      <w:r w:rsidRPr="008B2893">
        <w:rPr>
          <w:rFonts w:ascii="Times New Roman" w:hAnsi="Times New Roman" w:cs="Times New Roman"/>
          <w:b/>
          <w:sz w:val="28"/>
          <w:szCs w:val="28"/>
          <w:lang w:val="bg-BG"/>
        </w:rPr>
        <w:t>І Отчет на областта</w:t>
      </w:r>
    </w:p>
    <w:p w:rsidR="008B2893" w:rsidRDefault="008B2893" w:rsidP="00EC59E9">
      <w:pPr>
        <w:spacing w:line="240" w:lineRule="auto"/>
        <w:jc w:val="both"/>
        <w:rPr>
          <w:rFonts w:ascii="Times New Roman" w:hAnsi="Times New Roman" w:cs="Times New Roman"/>
          <w:b/>
          <w:sz w:val="28"/>
          <w:szCs w:val="28"/>
          <w:lang w:val="bg-BG"/>
        </w:rPr>
      </w:pPr>
      <w:r w:rsidRPr="00EC59E9">
        <w:rPr>
          <w:rFonts w:ascii="Times New Roman" w:hAnsi="Times New Roman" w:cs="Times New Roman"/>
          <w:b/>
          <w:sz w:val="28"/>
          <w:szCs w:val="28"/>
          <w:lang w:val="bg-BG"/>
        </w:rPr>
        <w:t xml:space="preserve">Оценка за напредъка по изпълнение приоритетите от областната стратегия за интеграция на ромите </w:t>
      </w:r>
    </w:p>
    <w:p w:rsidR="001E68B7" w:rsidRPr="001E68B7" w:rsidRDefault="001E68B7" w:rsidP="001E68B7">
      <w:pPr>
        <w:spacing w:line="240" w:lineRule="auto"/>
        <w:contextualSpacing/>
        <w:jc w:val="both"/>
        <w:rPr>
          <w:rFonts w:ascii="Times New Roman" w:hAnsi="Times New Roman" w:cs="Times New Roman"/>
          <w:bCs/>
          <w:sz w:val="24"/>
          <w:szCs w:val="24"/>
          <w:lang w:val="bg-BG"/>
        </w:rPr>
      </w:pPr>
      <w:r w:rsidRPr="001E68B7">
        <w:rPr>
          <w:rFonts w:ascii="Times New Roman" w:hAnsi="Times New Roman" w:cs="Times New Roman"/>
          <w:bCs/>
          <w:sz w:val="24"/>
          <w:szCs w:val="24"/>
          <w:lang w:val="bg-BG"/>
        </w:rPr>
        <w:t>Местната власт работи в посока недопускането на ограничения на правата или привилегии, основани на раса, народност, етническа принадлеж</w:t>
      </w:r>
      <w:r w:rsidR="00E03162">
        <w:rPr>
          <w:rFonts w:ascii="Times New Roman" w:hAnsi="Times New Roman" w:cs="Times New Roman"/>
          <w:bCs/>
          <w:sz w:val="24"/>
          <w:szCs w:val="24"/>
          <w:lang w:val="bg-BG"/>
        </w:rPr>
        <w:t>ност, пол, произход, религия, образование</w:t>
      </w:r>
      <w:r w:rsidRPr="001E68B7">
        <w:rPr>
          <w:rFonts w:ascii="Times New Roman" w:hAnsi="Times New Roman" w:cs="Times New Roman"/>
          <w:bCs/>
          <w:sz w:val="24"/>
          <w:szCs w:val="24"/>
          <w:lang w:val="bg-BG"/>
        </w:rPr>
        <w:t>, убеж</w:t>
      </w:r>
      <w:r w:rsidR="00E03162">
        <w:rPr>
          <w:rFonts w:ascii="Times New Roman" w:hAnsi="Times New Roman" w:cs="Times New Roman"/>
          <w:bCs/>
          <w:sz w:val="24"/>
          <w:szCs w:val="24"/>
          <w:lang w:val="bg-BG"/>
        </w:rPr>
        <w:t>дения,политическа принадлежност</w:t>
      </w:r>
      <w:r w:rsidRPr="001E68B7">
        <w:rPr>
          <w:rFonts w:ascii="Times New Roman" w:hAnsi="Times New Roman" w:cs="Times New Roman"/>
          <w:bCs/>
          <w:sz w:val="24"/>
          <w:szCs w:val="24"/>
          <w:lang w:val="bg-BG"/>
        </w:rPr>
        <w:t>,</w:t>
      </w:r>
      <w:r w:rsidR="00E03162">
        <w:rPr>
          <w:rFonts w:ascii="Times New Roman" w:hAnsi="Times New Roman" w:cs="Times New Roman"/>
          <w:bCs/>
          <w:sz w:val="24"/>
          <w:szCs w:val="24"/>
          <w:lang w:val="bg-BG"/>
        </w:rPr>
        <w:t xml:space="preserve"> </w:t>
      </w:r>
      <w:r w:rsidRPr="001E68B7">
        <w:rPr>
          <w:rFonts w:ascii="Times New Roman" w:hAnsi="Times New Roman" w:cs="Times New Roman"/>
          <w:bCs/>
          <w:sz w:val="24"/>
          <w:szCs w:val="24"/>
          <w:lang w:val="bg-BG"/>
        </w:rPr>
        <w:t>лично и  обществено поло</w:t>
      </w:r>
      <w:r w:rsidR="00E03162">
        <w:rPr>
          <w:rFonts w:ascii="Times New Roman" w:hAnsi="Times New Roman" w:cs="Times New Roman"/>
          <w:bCs/>
          <w:sz w:val="24"/>
          <w:szCs w:val="24"/>
          <w:lang w:val="bg-BG"/>
        </w:rPr>
        <w:t>жение или имуществено състояние</w:t>
      </w:r>
      <w:r w:rsidRPr="001E68B7">
        <w:rPr>
          <w:rFonts w:ascii="Times New Roman" w:hAnsi="Times New Roman" w:cs="Times New Roman"/>
          <w:bCs/>
          <w:sz w:val="24"/>
          <w:szCs w:val="24"/>
          <w:lang w:val="bg-BG"/>
        </w:rPr>
        <w:t>, следвайки инте</w:t>
      </w:r>
      <w:r w:rsidR="00E03162">
        <w:rPr>
          <w:rFonts w:ascii="Times New Roman" w:hAnsi="Times New Roman" w:cs="Times New Roman"/>
          <w:bCs/>
          <w:sz w:val="24"/>
          <w:szCs w:val="24"/>
          <w:lang w:val="bg-BG"/>
        </w:rPr>
        <w:t>ресите на всички социални групи</w:t>
      </w:r>
      <w:r w:rsidRPr="001E68B7">
        <w:rPr>
          <w:rFonts w:ascii="Times New Roman" w:hAnsi="Times New Roman" w:cs="Times New Roman"/>
          <w:bCs/>
          <w:sz w:val="24"/>
          <w:szCs w:val="24"/>
          <w:lang w:val="bg-BG"/>
        </w:rPr>
        <w:t>,</w:t>
      </w:r>
      <w:r w:rsidR="00E03162">
        <w:rPr>
          <w:rFonts w:ascii="Times New Roman" w:hAnsi="Times New Roman" w:cs="Times New Roman"/>
          <w:bCs/>
          <w:sz w:val="24"/>
          <w:szCs w:val="24"/>
          <w:lang w:val="bg-BG"/>
        </w:rPr>
        <w:t xml:space="preserve"> представени на тяхна територия, да бъдат зачитани</w:t>
      </w:r>
      <w:r w:rsidRPr="001E68B7">
        <w:rPr>
          <w:rFonts w:ascii="Times New Roman" w:hAnsi="Times New Roman" w:cs="Times New Roman"/>
          <w:bCs/>
          <w:sz w:val="24"/>
          <w:szCs w:val="24"/>
          <w:lang w:val="bg-BG"/>
        </w:rPr>
        <w:t>, създавайки и усъвършенствайки механизми за предотвратява</w:t>
      </w:r>
      <w:r w:rsidR="00E03162">
        <w:rPr>
          <w:rFonts w:ascii="Times New Roman" w:hAnsi="Times New Roman" w:cs="Times New Roman"/>
          <w:bCs/>
          <w:sz w:val="24"/>
          <w:szCs w:val="24"/>
          <w:lang w:val="bg-BG"/>
        </w:rPr>
        <w:t>не на дискриминационни практики</w:t>
      </w:r>
      <w:r w:rsidRPr="001E68B7">
        <w:rPr>
          <w:rFonts w:ascii="Times New Roman" w:hAnsi="Times New Roman" w:cs="Times New Roman"/>
          <w:bCs/>
          <w:sz w:val="24"/>
          <w:szCs w:val="24"/>
          <w:lang w:val="bg-BG"/>
        </w:rPr>
        <w:t xml:space="preserve">. </w:t>
      </w:r>
    </w:p>
    <w:p w:rsidR="001E68B7" w:rsidRPr="001E68B7" w:rsidRDefault="001E68B7" w:rsidP="001E68B7">
      <w:pPr>
        <w:spacing w:line="240" w:lineRule="auto"/>
        <w:contextualSpacing/>
        <w:jc w:val="both"/>
        <w:rPr>
          <w:rFonts w:ascii="Times New Roman" w:hAnsi="Times New Roman" w:cs="Times New Roman"/>
          <w:sz w:val="24"/>
          <w:szCs w:val="24"/>
          <w:lang w:val="bg-BG"/>
        </w:rPr>
      </w:pPr>
      <w:r w:rsidRPr="001E68B7">
        <w:rPr>
          <w:rFonts w:ascii="Times New Roman" w:hAnsi="Times New Roman" w:cs="Times New Roman"/>
          <w:sz w:val="24"/>
          <w:szCs w:val="24"/>
          <w:lang w:val="bg-BG"/>
        </w:rPr>
        <w:t xml:space="preserve">Цели: </w:t>
      </w:r>
    </w:p>
    <w:p w:rsidR="001E68B7" w:rsidRPr="001E68B7" w:rsidRDefault="001E68B7" w:rsidP="00E03162">
      <w:pPr>
        <w:spacing w:line="240" w:lineRule="auto"/>
        <w:contextualSpacing/>
        <w:jc w:val="both"/>
        <w:rPr>
          <w:rFonts w:ascii="Times New Roman" w:hAnsi="Times New Roman" w:cs="Times New Roman"/>
          <w:sz w:val="24"/>
          <w:szCs w:val="24"/>
          <w:lang w:val="bg-BG"/>
        </w:rPr>
      </w:pPr>
      <w:r w:rsidRPr="001E68B7">
        <w:rPr>
          <w:rFonts w:ascii="Times New Roman" w:hAnsi="Times New Roman" w:cs="Times New Roman"/>
          <w:sz w:val="24"/>
          <w:szCs w:val="24"/>
          <w:lang w:val="bg-BG"/>
        </w:rPr>
        <w:t>1.Гарантиране правата на гражданите с акцент върху жените и децата, защита на обществения ред, недопускане и противодействие на проявите на нетолерантност</w:t>
      </w:r>
      <w:r w:rsidR="00E03162">
        <w:rPr>
          <w:rFonts w:ascii="Times New Roman" w:hAnsi="Times New Roman" w:cs="Times New Roman"/>
          <w:sz w:val="24"/>
          <w:szCs w:val="24"/>
          <w:lang w:val="bg-BG"/>
        </w:rPr>
        <w:t>;</w:t>
      </w:r>
      <w:r w:rsidRPr="001E68B7">
        <w:rPr>
          <w:rFonts w:ascii="Times New Roman" w:hAnsi="Times New Roman" w:cs="Times New Roman"/>
          <w:sz w:val="24"/>
          <w:szCs w:val="24"/>
          <w:lang w:val="bg-BG"/>
        </w:rPr>
        <w:t xml:space="preserve"> </w:t>
      </w:r>
    </w:p>
    <w:p w:rsidR="001E68B7" w:rsidRPr="001E68B7" w:rsidRDefault="001E68B7" w:rsidP="00E03162">
      <w:pPr>
        <w:spacing w:line="240" w:lineRule="auto"/>
        <w:contextualSpacing/>
        <w:jc w:val="both"/>
        <w:rPr>
          <w:rFonts w:ascii="Times New Roman" w:hAnsi="Times New Roman" w:cs="Times New Roman"/>
          <w:sz w:val="24"/>
          <w:szCs w:val="24"/>
          <w:lang w:val="bg-BG"/>
        </w:rPr>
      </w:pPr>
      <w:r w:rsidRPr="001E68B7">
        <w:rPr>
          <w:rFonts w:ascii="Times New Roman" w:hAnsi="Times New Roman" w:cs="Times New Roman"/>
          <w:sz w:val="24"/>
          <w:szCs w:val="24"/>
          <w:lang w:val="bg-BG"/>
        </w:rPr>
        <w:t>2. Повишаване гаранциите за ефективна защита на правата на българските граждани в</w:t>
      </w:r>
    </w:p>
    <w:p w:rsidR="001E68B7" w:rsidRPr="001E68B7" w:rsidRDefault="001E68B7" w:rsidP="00E03162">
      <w:pPr>
        <w:spacing w:line="240" w:lineRule="auto"/>
        <w:contextualSpacing/>
        <w:jc w:val="both"/>
        <w:rPr>
          <w:rFonts w:ascii="Times New Roman" w:hAnsi="Times New Roman" w:cs="Times New Roman"/>
          <w:sz w:val="24"/>
          <w:szCs w:val="24"/>
          <w:lang w:val="bg-BG"/>
        </w:rPr>
      </w:pPr>
      <w:r w:rsidRPr="001E68B7">
        <w:rPr>
          <w:rFonts w:ascii="Times New Roman" w:hAnsi="Times New Roman" w:cs="Times New Roman"/>
          <w:sz w:val="24"/>
          <w:szCs w:val="24"/>
          <w:lang w:val="bg-BG"/>
        </w:rPr>
        <w:t>уязвимо социално положение, принадлежа</w:t>
      </w:r>
      <w:r w:rsidR="00E03162">
        <w:rPr>
          <w:rFonts w:ascii="Times New Roman" w:hAnsi="Times New Roman" w:cs="Times New Roman"/>
          <w:sz w:val="24"/>
          <w:szCs w:val="24"/>
          <w:lang w:val="bg-BG"/>
        </w:rPr>
        <w:t>щи към различни етнически групи;</w:t>
      </w:r>
    </w:p>
    <w:p w:rsidR="001E68B7" w:rsidRPr="001E68B7" w:rsidRDefault="001E68B7" w:rsidP="00E03162">
      <w:pPr>
        <w:spacing w:line="240" w:lineRule="auto"/>
        <w:contextualSpacing/>
        <w:jc w:val="both"/>
        <w:rPr>
          <w:rFonts w:ascii="Times New Roman" w:hAnsi="Times New Roman" w:cs="Times New Roman"/>
          <w:sz w:val="24"/>
          <w:szCs w:val="24"/>
          <w:lang w:val="bg-BG"/>
        </w:rPr>
      </w:pPr>
      <w:r w:rsidRPr="001E68B7">
        <w:rPr>
          <w:rFonts w:ascii="Times New Roman" w:hAnsi="Times New Roman" w:cs="Times New Roman"/>
          <w:sz w:val="24"/>
          <w:szCs w:val="24"/>
          <w:lang w:val="bg-BG"/>
        </w:rPr>
        <w:t>3. Ефективно прилагане на политиките за интеграция на ромите за постигане на</w:t>
      </w:r>
    </w:p>
    <w:p w:rsidR="001E68B7" w:rsidRDefault="001E68B7" w:rsidP="00E03162">
      <w:pPr>
        <w:spacing w:line="240" w:lineRule="auto"/>
        <w:contextualSpacing/>
        <w:jc w:val="both"/>
        <w:rPr>
          <w:rFonts w:ascii="Times New Roman" w:hAnsi="Times New Roman" w:cs="Times New Roman"/>
          <w:sz w:val="24"/>
          <w:szCs w:val="24"/>
          <w:lang w:val="bg-BG"/>
        </w:rPr>
      </w:pPr>
      <w:r w:rsidRPr="001E68B7">
        <w:rPr>
          <w:rFonts w:ascii="Times New Roman" w:hAnsi="Times New Roman" w:cs="Times New Roman"/>
          <w:sz w:val="24"/>
          <w:szCs w:val="24"/>
          <w:lang w:val="bg-BG"/>
        </w:rPr>
        <w:t>равенство, достойно съществуване и пълноценно участие в обществения живот.</w:t>
      </w:r>
    </w:p>
    <w:p w:rsidR="008B2893" w:rsidRPr="00925AD6" w:rsidRDefault="00A339F4" w:rsidP="001E68B7">
      <w:pPr>
        <w:spacing w:line="240" w:lineRule="auto"/>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Трябва да се а</w:t>
      </w:r>
      <w:r w:rsidR="00925AD6" w:rsidRPr="00925AD6">
        <w:rPr>
          <w:rFonts w:ascii="Times New Roman" w:hAnsi="Times New Roman" w:cs="Times New Roman"/>
          <w:sz w:val="24"/>
          <w:szCs w:val="24"/>
          <w:lang w:val="bg-BG"/>
        </w:rPr>
        <w:t>кцент</w:t>
      </w:r>
      <w:r>
        <w:rPr>
          <w:rFonts w:ascii="Times New Roman" w:hAnsi="Times New Roman" w:cs="Times New Roman"/>
          <w:sz w:val="24"/>
          <w:szCs w:val="24"/>
          <w:lang w:val="bg-BG"/>
        </w:rPr>
        <w:t xml:space="preserve">ира при </w:t>
      </w:r>
      <w:r w:rsidR="00925AD6" w:rsidRPr="00925AD6">
        <w:rPr>
          <w:rFonts w:ascii="Times New Roman" w:hAnsi="Times New Roman" w:cs="Times New Roman"/>
          <w:sz w:val="24"/>
          <w:szCs w:val="24"/>
          <w:lang w:val="bg-BG"/>
        </w:rPr>
        <w:t>постигането на баланс между дейностите по социалното включване и дейностите, гарантиращи устойчиво развитие на общността. Основна част заемат дейностите по интеграцията на ромското население. О</w:t>
      </w:r>
      <w:r w:rsidR="00E03162">
        <w:rPr>
          <w:rFonts w:ascii="Times New Roman" w:hAnsi="Times New Roman" w:cs="Times New Roman"/>
          <w:sz w:val="24"/>
          <w:szCs w:val="24"/>
          <w:lang w:val="bg-BG"/>
        </w:rPr>
        <w:t>бластната</w:t>
      </w:r>
      <w:r w:rsidR="00925AD6" w:rsidRPr="00925AD6">
        <w:rPr>
          <w:rFonts w:ascii="Times New Roman" w:hAnsi="Times New Roman" w:cs="Times New Roman"/>
          <w:sz w:val="24"/>
          <w:szCs w:val="24"/>
          <w:lang w:val="bg-BG"/>
        </w:rPr>
        <w:t xml:space="preserve"> политика е инструмент за единодействие на местните инициативи с държавните изисквания. Целта е подобряване благосъстоянието на </w:t>
      </w:r>
      <w:proofErr w:type="spellStart"/>
      <w:r w:rsidR="00925AD6" w:rsidRPr="00925AD6">
        <w:rPr>
          <w:rFonts w:ascii="Times New Roman" w:hAnsi="Times New Roman" w:cs="Times New Roman"/>
          <w:sz w:val="24"/>
          <w:szCs w:val="24"/>
          <w:lang w:val="bg-BG"/>
        </w:rPr>
        <w:t>маргинализираните</w:t>
      </w:r>
      <w:proofErr w:type="spellEnd"/>
      <w:r w:rsidR="00925AD6" w:rsidRPr="00925AD6">
        <w:rPr>
          <w:rFonts w:ascii="Times New Roman" w:hAnsi="Times New Roman" w:cs="Times New Roman"/>
          <w:sz w:val="24"/>
          <w:szCs w:val="24"/>
          <w:lang w:val="bg-BG"/>
        </w:rPr>
        <w:t xml:space="preserve"> групи.</w:t>
      </w:r>
    </w:p>
    <w:p w:rsidR="008B2893" w:rsidRPr="00EC59E9" w:rsidRDefault="008B2893" w:rsidP="00EC59E9">
      <w:pPr>
        <w:spacing w:line="240" w:lineRule="auto"/>
        <w:jc w:val="both"/>
        <w:rPr>
          <w:rFonts w:ascii="Times New Roman" w:hAnsi="Times New Roman" w:cs="Times New Roman"/>
          <w:b/>
          <w:sz w:val="28"/>
          <w:szCs w:val="28"/>
          <w:lang w:val="bg-BG"/>
        </w:rPr>
      </w:pPr>
      <w:r w:rsidRPr="00EC59E9">
        <w:rPr>
          <w:rFonts w:ascii="Times New Roman" w:hAnsi="Times New Roman" w:cs="Times New Roman"/>
          <w:b/>
          <w:sz w:val="28"/>
          <w:szCs w:val="28"/>
          <w:lang w:val="bg-BG"/>
        </w:rPr>
        <w:t>Извършена дейност от областният съвет за сътрудничество по етническите и интеграционни въпроси за 2017 г.</w:t>
      </w:r>
    </w:p>
    <w:p w:rsidR="00DE2F00" w:rsidRPr="00DE2F00" w:rsidRDefault="00DE2F00" w:rsidP="00DE2F00">
      <w:pPr>
        <w:spacing w:line="240" w:lineRule="auto"/>
        <w:contextualSpacing/>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В срок до 28 февруари 2017 г. е изискана информация от кметовете на общините, РИО-Ловеч и ДРСЗ-Ловеч относно изготвяне на годишен </w:t>
      </w:r>
      <w:proofErr w:type="spellStart"/>
      <w:r w:rsidRPr="00DE2F00">
        <w:rPr>
          <w:rFonts w:ascii="Times New Roman" w:hAnsi="Times New Roman" w:cs="Times New Roman"/>
          <w:sz w:val="24"/>
          <w:szCs w:val="24"/>
          <w:lang w:val="bg-BG"/>
        </w:rPr>
        <w:t>мониторингов</w:t>
      </w:r>
      <w:proofErr w:type="spellEnd"/>
      <w:r w:rsidRPr="00DE2F00">
        <w:rPr>
          <w:rFonts w:ascii="Times New Roman" w:hAnsi="Times New Roman" w:cs="Times New Roman"/>
          <w:sz w:val="24"/>
          <w:szCs w:val="24"/>
          <w:lang w:val="bg-BG"/>
        </w:rPr>
        <w:t xml:space="preserve"> доклад за 2016 г. </w:t>
      </w:r>
    </w:p>
    <w:p w:rsidR="00DE2F00" w:rsidRPr="00DE2F00" w:rsidRDefault="00DE2F00" w:rsidP="00DE2F00">
      <w:pPr>
        <w:spacing w:line="240" w:lineRule="auto"/>
        <w:contextualSpacing/>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През 2017 г. е проведено 1 (едно) заседание, на което е приет Годишен </w:t>
      </w:r>
      <w:proofErr w:type="spellStart"/>
      <w:r w:rsidRPr="00DE2F00">
        <w:rPr>
          <w:rFonts w:ascii="Times New Roman" w:hAnsi="Times New Roman" w:cs="Times New Roman"/>
          <w:sz w:val="24"/>
          <w:szCs w:val="24"/>
          <w:lang w:val="bg-BG"/>
        </w:rPr>
        <w:t>мониторингов</w:t>
      </w:r>
      <w:proofErr w:type="spellEnd"/>
      <w:r w:rsidRPr="00DE2F00">
        <w:rPr>
          <w:rFonts w:ascii="Times New Roman" w:hAnsi="Times New Roman" w:cs="Times New Roman"/>
          <w:sz w:val="24"/>
          <w:szCs w:val="24"/>
          <w:lang w:val="bg-BG"/>
        </w:rPr>
        <w:t xml:space="preserve"> доклад за 2016 г. за изпълнението на ангажиментите по Плана за действие за изпълнение на Националната стратегия на РБ за интегриране на ромите /2012-2020/ и „Десетилетие на ромското включване 2005-2015 г.“ в област Ловеч. Докладът е изпратен в Секретариата на НССЕИВ.</w:t>
      </w:r>
    </w:p>
    <w:p w:rsidR="00DE2F00" w:rsidRPr="00DE2F00" w:rsidRDefault="00DE2F00" w:rsidP="00DE2F00">
      <w:pPr>
        <w:spacing w:line="240" w:lineRule="auto"/>
        <w:contextualSpacing/>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По време на заседанието </w:t>
      </w:r>
      <w:r w:rsidR="00E03162" w:rsidRPr="00DE2F00">
        <w:rPr>
          <w:rFonts w:ascii="Times New Roman" w:hAnsi="Times New Roman" w:cs="Times New Roman"/>
          <w:sz w:val="24"/>
          <w:szCs w:val="24"/>
          <w:lang w:val="bg-BG"/>
        </w:rPr>
        <w:t xml:space="preserve">бяха </w:t>
      </w:r>
      <w:r w:rsidRPr="00DE2F00">
        <w:rPr>
          <w:rFonts w:ascii="Times New Roman" w:hAnsi="Times New Roman" w:cs="Times New Roman"/>
          <w:sz w:val="24"/>
          <w:szCs w:val="24"/>
          <w:lang w:val="bg-BG"/>
        </w:rPr>
        <w:t xml:space="preserve">представени </w:t>
      </w:r>
      <w:proofErr w:type="spellStart"/>
      <w:r w:rsidRPr="00DE2F00">
        <w:rPr>
          <w:rFonts w:ascii="Times New Roman" w:hAnsi="Times New Roman" w:cs="Times New Roman"/>
          <w:sz w:val="24"/>
          <w:szCs w:val="24"/>
          <w:lang w:val="bg-BG"/>
        </w:rPr>
        <w:t>стипендиантските</w:t>
      </w:r>
      <w:proofErr w:type="spellEnd"/>
      <w:r w:rsidRPr="00DE2F00">
        <w:rPr>
          <w:rFonts w:ascii="Times New Roman" w:hAnsi="Times New Roman" w:cs="Times New Roman"/>
          <w:sz w:val="24"/>
          <w:szCs w:val="24"/>
          <w:lang w:val="bg-BG"/>
        </w:rPr>
        <w:t xml:space="preserve"> програми на Ромски образователен фонд за 2017 г.</w:t>
      </w:r>
    </w:p>
    <w:p w:rsidR="008B2893" w:rsidRPr="008B2893" w:rsidRDefault="008B2893" w:rsidP="008B2893">
      <w:pPr>
        <w:pStyle w:val="ListParagraph"/>
        <w:spacing w:line="240" w:lineRule="auto"/>
        <w:ind w:left="0"/>
        <w:jc w:val="both"/>
        <w:rPr>
          <w:rFonts w:ascii="Times New Roman" w:hAnsi="Times New Roman" w:cs="Times New Roman"/>
          <w:b/>
          <w:sz w:val="28"/>
          <w:szCs w:val="28"/>
          <w:lang w:val="bg-BG"/>
        </w:rPr>
      </w:pPr>
    </w:p>
    <w:p w:rsidR="00D51A31" w:rsidRDefault="008B2893" w:rsidP="008B2893">
      <w:pPr>
        <w:pStyle w:val="ListParagraph"/>
        <w:spacing w:line="240" w:lineRule="auto"/>
        <w:ind w:left="0"/>
        <w:jc w:val="both"/>
        <w:rPr>
          <w:rFonts w:ascii="Times New Roman" w:hAnsi="Times New Roman" w:cs="Times New Roman"/>
          <w:b/>
          <w:sz w:val="28"/>
          <w:szCs w:val="28"/>
          <w:lang w:val="bg-BG"/>
        </w:rPr>
      </w:pPr>
      <w:r w:rsidRPr="008B2893">
        <w:rPr>
          <w:rFonts w:ascii="Times New Roman" w:hAnsi="Times New Roman" w:cs="Times New Roman"/>
          <w:b/>
          <w:sz w:val="28"/>
          <w:szCs w:val="28"/>
          <w:lang w:val="bg-BG"/>
        </w:rPr>
        <w:t>ІІ Отчет на общините</w:t>
      </w:r>
    </w:p>
    <w:p w:rsidR="008B2893" w:rsidRDefault="008B2893" w:rsidP="008B2893">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8"/>
          <w:szCs w:val="28"/>
          <w:lang w:val="bg-BG"/>
        </w:rPr>
        <w:t>Община Априлци</w:t>
      </w:r>
    </w:p>
    <w:p w:rsidR="008B2893" w:rsidRDefault="008B2893" w:rsidP="008B2893">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На територията на Община Априлци няма регистрирани граждани самоопределили се като роми. Предвид това за тази община няма предоставени данни по поставените от Вас критерии.</w:t>
      </w:r>
    </w:p>
    <w:p w:rsidR="008B2893" w:rsidRDefault="008B2893" w:rsidP="008B2893">
      <w:pPr>
        <w:pStyle w:val="ListParagraph"/>
        <w:spacing w:line="240" w:lineRule="auto"/>
        <w:ind w:left="0"/>
        <w:jc w:val="both"/>
        <w:rPr>
          <w:rFonts w:ascii="Times New Roman" w:hAnsi="Times New Roman" w:cs="Times New Roman"/>
          <w:sz w:val="24"/>
          <w:szCs w:val="24"/>
          <w:lang w:val="bg-BG"/>
        </w:rPr>
      </w:pPr>
    </w:p>
    <w:p w:rsidR="008B2893" w:rsidRDefault="008B2893" w:rsidP="008B2893">
      <w:pPr>
        <w:pStyle w:val="ListParagraph"/>
        <w:spacing w:line="240" w:lineRule="auto"/>
        <w:ind w:hanging="720"/>
        <w:jc w:val="both"/>
        <w:rPr>
          <w:rFonts w:ascii="Times New Roman" w:hAnsi="Times New Roman" w:cs="Times New Roman"/>
          <w:sz w:val="28"/>
          <w:szCs w:val="28"/>
          <w:lang w:val="bg-BG"/>
        </w:rPr>
      </w:pPr>
      <w:r w:rsidRPr="008B2893">
        <w:rPr>
          <w:rFonts w:ascii="Times New Roman" w:hAnsi="Times New Roman" w:cs="Times New Roman"/>
          <w:sz w:val="28"/>
          <w:szCs w:val="28"/>
          <w:lang w:val="bg-BG"/>
        </w:rPr>
        <w:t xml:space="preserve">Община </w:t>
      </w:r>
      <w:r>
        <w:rPr>
          <w:rFonts w:ascii="Times New Roman" w:hAnsi="Times New Roman" w:cs="Times New Roman"/>
          <w:sz w:val="28"/>
          <w:szCs w:val="28"/>
          <w:lang w:val="bg-BG"/>
        </w:rPr>
        <w:t>Летница</w:t>
      </w:r>
    </w:p>
    <w:p w:rsidR="00A24CF3" w:rsidRDefault="008B2893" w:rsidP="00A24CF3">
      <w:pPr>
        <w:pStyle w:val="ListParagraph"/>
        <w:spacing w:line="240" w:lineRule="auto"/>
        <w:ind w:left="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На територията на Община Летница има гарантиран достъп до качествено образование в мултикултурна/интеркултурна среда. В общината функционира, след оптимизацията на училищната мрежа  СУ „Бачо Киро“ гр. Летница, като средищно училище и ДГ „Ирина Бачо Кирова“ гр. Летница,</w:t>
      </w:r>
      <w:r w:rsidR="00E03162">
        <w:rPr>
          <w:rFonts w:ascii="Times New Roman" w:hAnsi="Times New Roman" w:cs="Times New Roman"/>
          <w:sz w:val="24"/>
          <w:szCs w:val="24"/>
          <w:lang w:val="bg-BG"/>
        </w:rPr>
        <w:t xml:space="preserve"> с филиал в село Горско Сливово:</w:t>
      </w:r>
    </w:p>
    <w:p w:rsidR="008B2893" w:rsidRPr="00A24CF3" w:rsidRDefault="008B2893" w:rsidP="00A24CF3">
      <w:pPr>
        <w:pStyle w:val="ListParagraph"/>
        <w:spacing w:line="240" w:lineRule="auto"/>
        <w:ind w:left="0"/>
        <w:jc w:val="both"/>
        <w:rPr>
          <w:rFonts w:ascii="Times New Roman" w:hAnsi="Times New Roman" w:cs="Times New Roman"/>
          <w:sz w:val="24"/>
          <w:szCs w:val="24"/>
          <w:u w:val="single"/>
          <w:lang w:val="bg-BG"/>
        </w:rPr>
      </w:pPr>
      <w:r w:rsidRPr="008B2893">
        <w:rPr>
          <w:rFonts w:ascii="Times New Roman" w:hAnsi="Times New Roman" w:cs="Times New Roman"/>
          <w:sz w:val="24"/>
          <w:szCs w:val="24"/>
          <w:lang w:val="bg-BG"/>
        </w:rPr>
        <w:t xml:space="preserve">В детската градина в момента се обучават и възпитават </w:t>
      </w:r>
      <w:r w:rsidRPr="008B2893">
        <w:rPr>
          <w:rFonts w:ascii="Times New Roman" w:hAnsi="Times New Roman" w:cs="Times New Roman"/>
          <w:sz w:val="24"/>
          <w:szCs w:val="24"/>
        </w:rPr>
        <w:t>124</w:t>
      </w:r>
      <w:r w:rsidRPr="008B2893">
        <w:rPr>
          <w:rFonts w:ascii="Times New Roman" w:hAnsi="Times New Roman" w:cs="Times New Roman"/>
          <w:sz w:val="24"/>
          <w:szCs w:val="24"/>
          <w:lang w:val="bg-BG"/>
        </w:rPr>
        <w:t xml:space="preserve"> деца, от тях </w:t>
      </w:r>
      <w:r w:rsidRPr="008B2893">
        <w:rPr>
          <w:rFonts w:ascii="Times New Roman" w:hAnsi="Times New Roman" w:cs="Times New Roman"/>
          <w:sz w:val="24"/>
          <w:szCs w:val="24"/>
        </w:rPr>
        <w:t>78</w:t>
      </w:r>
      <w:r w:rsidRPr="008B2893">
        <w:rPr>
          <w:rFonts w:ascii="Times New Roman" w:hAnsi="Times New Roman" w:cs="Times New Roman"/>
          <w:sz w:val="24"/>
          <w:szCs w:val="24"/>
          <w:lang w:val="bg-BG"/>
        </w:rPr>
        <w:t xml:space="preserve">% са от различни етноси в т.ч. </w:t>
      </w:r>
      <w:proofErr w:type="gramStart"/>
      <w:r w:rsidRPr="008B2893">
        <w:rPr>
          <w:rFonts w:ascii="Times New Roman" w:hAnsi="Times New Roman" w:cs="Times New Roman"/>
          <w:sz w:val="24"/>
          <w:szCs w:val="24"/>
        </w:rPr>
        <w:t>24</w:t>
      </w:r>
      <w:r w:rsidRPr="008B2893">
        <w:rPr>
          <w:rFonts w:ascii="Times New Roman" w:hAnsi="Times New Roman" w:cs="Times New Roman"/>
          <w:sz w:val="24"/>
          <w:szCs w:val="24"/>
          <w:lang w:val="bg-BG"/>
        </w:rPr>
        <w:t xml:space="preserve"> деца на 5-годишна възраст и </w:t>
      </w:r>
      <w:r w:rsidRPr="008B2893">
        <w:rPr>
          <w:rFonts w:ascii="Times New Roman" w:hAnsi="Times New Roman" w:cs="Times New Roman"/>
          <w:sz w:val="24"/>
          <w:szCs w:val="24"/>
        </w:rPr>
        <w:t>29</w:t>
      </w:r>
      <w:r w:rsidRPr="008B2893">
        <w:rPr>
          <w:rFonts w:ascii="Times New Roman" w:hAnsi="Times New Roman" w:cs="Times New Roman"/>
          <w:sz w:val="24"/>
          <w:szCs w:val="24"/>
          <w:lang w:val="bg-BG"/>
        </w:rPr>
        <w:t xml:space="preserve"> деца на 6-годишна възраст.</w:t>
      </w:r>
      <w:proofErr w:type="gramEnd"/>
      <w:r w:rsidRPr="008B2893">
        <w:rPr>
          <w:rFonts w:ascii="Times New Roman" w:hAnsi="Times New Roman" w:cs="Times New Roman"/>
          <w:sz w:val="24"/>
          <w:szCs w:val="24"/>
          <w:lang w:val="bg-BG"/>
        </w:rPr>
        <w:t xml:space="preserve"> </w:t>
      </w:r>
    </w:p>
    <w:p w:rsid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Данните за броя на децата, подлежащи на задължително обучение в ПГ:</w:t>
      </w:r>
    </w:p>
    <w:p w:rsidR="00A24CF3" w:rsidRPr="008B2893" w:rsidRDefault="00A24CF3" w:rsidP="00A24CF3">
      <w:pPr>
        <w:pStyle w:val="ListParagraph"/>
        <w:spacing w:line="240" w:lineRule="auto"/>
        <w:ind w:hanging="720"/>
        <w:jc w:val="both"/>
        <w:rPr>
          <w:rFonts w:ascii="Times New Roman" w:hAnsi="Times New Roman" w:cs="Times New Roman"/>
          <w:sz w:val="24"/>
          <w:szCs w:val="24"/>
        </w:rPr>
      </w:pPr>
    </w:p>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204"/>
        <w:gridCol w:w="3219"/>
      </w:tblGrid>
      <w:tr w:rsidR="008B2893" w:rsidRPr="008B2893" w:rsidTr="00886225">
        <w:tc>
          <w:tcPr>
            <w:tcW w:w="3438"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201</w:t>
            </w:r>
            <w:r w:rsidRPr="008B2893">
              <w:rPr>
                <w:rFonts w:ascii="Times New Roman" w:hAnsi="Times New Roman" w:cs="Times New Roman"/>
                <w:sz w:val="24"/>
                <w:szCs w:val="24"/>
              </w:rPr>
              <w:t>7</w:t>
            </w:r>
            <w:r w:rsidRPr="008B2893">
              <w:rPr>
                <w:rFonts w:ascii="Times New Roman" w:hAnsi="Times New Roman" w:cs="Times New Roman"/>
                <w:sz w:val="24"/>
                <w:szCs w:val="24"/>
                <w:lang w:val="bg-BG"/>
              </w:rPr>
              <w:t xml:space="preserve"> г.</w:t>
            </w:r>
          </w:p>
        </w:tc>
        <w:tc>
          <w:tcPr>
            <w:tcW w:w="343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Брой 5-годишни по ГРАО</w:t>
            </w:r>
          </w:p>
        </w:tc>
        <w:tc>
          <w:tcPr>
            <w:tcW w:w="343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rPr>
              <w:t xml:space="preserve">5 </w:t>
            </w:r>
            <w:r w:rsidRPr="008B2893">
              <w:rPr>
                <w:rFonts w:ascii="Times New Roman" w:hAnsi="Times New Roman" w:cs="Times New Roman"/>
                <w:sz w:val="24"/>
                <w:szCs w:val="24"/>
                <w:lang w:val="bg-BG"/>
              </w:rPr>
              <w:t>годишни обхванати</w:t>
            </w:r>
          </w:p>
        </w:tc>
      </w:tr>
      <w:tr w:rsidR="008B2893" w:rsidRPr="008B2893" w:rsidTr="00886225">
        <w:tc>
          <w:tcPr>
            <w:tcW w:w="3438"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Община Летница</w:t>
            </w:r>
          </w:p>
        </w:tc>
        <w:tc>
          <w:tcPr>
            <w:tcW w:w="343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rPr>
            </w:pPr>
            <w:r w:rsidRPr="008B2893">
              <w:rPr>
                <w:rFonts w:ascii="Times New Roman" w:hAnsi="Times New Roman" w:cs="Times New Roman"/>
                <w:sz w:val="24"/>
                <w:szCs w:val="24"/>
              </w:rPr>
              <w:t>46</w:t>
            </w:r>
          </w:p>
        </w:tc>
        <w:tc>
          <w:tcPr>
            <w:tcW w:w="343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rPr>
            </w:pPr>
            <w:r w:rsidRPr="008B2893">
              <w:rPr>
                <w:rFonts w:ascii="Times New Roman" w:hAnsi="Times New Roman" w:cs="Times New Roman"/>
                <w:sz w:val="24"/>
                <w:szCs w:val="24"/>
              </w:rPr>
              <w:t>24</w:t>
            </w:r>
          </w:p>
        </w:tc>
      </w:tr>
    </w:tbl>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p>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204"/>
        <w:gridCol w:w="3219"/>
      </w:tblGrid>
      <w:tr w:rsidR="008B2893" w:rsidRPr="008B2893" w:rsidTr="00886225">
        <w:tc>
          <w:tcPr>
            <w:tcW w:w="3438"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201</w:t>
            </w:r>
            <w:r w:rsidRPr="008B2893">
              <w:rPr>
                <w:rFonts w:ascii="Times New Roman" w:hAnsi="Times New Roman" w:cs="Times New Roman"/>
                <w:sz w:val="24"/>
                <w:szCs w:val="24"/>
              </w:rPr>
              <w:t>7</w:t>
            </w:r>
            <w:r w:rsidRPr="008B2893">
              <w:rPr>
                <w:rFonts w:ascii="Times New Roman" w:hAnsi="Times New Roman" w:cs="Times New Roman"/>
                <w:sz w:val="24"/>
                <w:szCs w:val="24"/>
                <w:lang w:val="bg-BG"/>
              </w:rPr>
              <w:t xml:space="preserve"> г.</w:t>
            </w:r>
          </w:p>
        </w:tc>
        <w:tc>
          <w:tcPr>
            <w:tcW w:w="343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Брой 6-годишни по ГРАО</w:t>
            </w:r>
          </w:p>
        </w:tc>
        <w:tc>
          <w:tcPr>
            <w:tcW w:w="343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6-годишни обхванати</w:t>
            </w:r>
          </w:p>
        </w:tc>
      </w:tr>
      <w:tr w:rsidR="008B2893" w:rsidRPr="008B2893" w:rsidTr="00886225">
        <w:tc>
          <w:tcPr>
            <w:tcW w:w="3438"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Община Летница</w:t>
            </w:r>
          </w:p>
        </w:tc>
        <w:tc>
          <w:tcPr>
            <w:tcW w:w="343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rPr>
            </w:pPr>
            <w:r w:rsidRPr="008B2893">
              <w:rPr>
                <w:rFonts w:ascii="Times New Roman" w:hAnsi="Times New Roman" w:cs="Times New Roman"/>
                <w:sz w:val="24"/>
                <w:szCs w:val="24"/>
              </w:rPr>
              <w:t>47</w:t>
            </w:r>
          </w:p>
        </w:tc>
        <w:tc>
          <w:tcPr>
            <w:tcW w:w="343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rPr>
            </w:pPr>
            <w:r w:rsidRPr="008B2893">
              <w:rPr>
                <w:rFonts w:ascii="Times New Roman" w:hAnsi="Times New Roman" w:cs="Times New Roman"/>
                <w:sz w:val="24"/>
                <w:szCs w:val="24"/>
              </w:rPr>
              <w:t>29</w:t>
            </w:r>
          </w:p>
        </w:tc>
      </w:tr>
    </w:tbl>
    <w:p w:rsidR="008B2893" w:rsidRPr="00E03162" w:rsidRDefault="008B2893" w:rsidP="00E03162">
      <w:pPr>
        <w:spacing w:line="240" w:lineRule="auto"/>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Данните за броя на децата, постъпили в първи клас са както следва:</w:t>
      </w:r>
    </w:p>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402"/>
        <w:gridCol w:w="2402"/>
      </w:tblGrid>
      <w:tr w:rsidR="008B2893" w:rsidRPr="008B2893" w:rsidTr="00886225">
        <w:tc>
          <w:tcPr>
            <w:tcW w:w="246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Брой първокласници</w:t>
            </w:r>
          </w:p>
        </w:tc>
        <w:tc>
          <w:tcPr>
            <w:tcW w:w="2402"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rPr>
            </w:pPr>
            <w:r w:rsidRPr="008B2893">
              <w:rPr>
                <w:rFonts w:ascii="Times New Roman" w:hAnsi="Times New Roman" w:cs="Times New Roman"/>
                <w:sz w:val="24"/>
                <w:szCs w:val="24"/>
                <w:lang w:val="bg-BG"/>
              </w:rPr>
              <w:t>201</w:t>
            </w:r>
            <w:r w:rsidRPr="008B2893">
              <w:rPr>
                <w:rFonts w:ascii="Times New Roman" w:hAnsi="Times New Roman" w:cs="Times New Roman"/>
                <w:sz w:val="24"/>
                <w:szCs w:val="24"/>
              </w:rPr>
              <w:t>6</w:t>
            </w:r>
            <w:r w:rsidRPr="008B2893">
              <w:rPr>
                <w:rFonts w:ascii="Times New Roman" w:hAnsi="Times New Roman" w:cs="Times New Roman"/>
                <w:sz w:val="24"/>
                <w:szCs w:val="24"/>
                <w:lang w:val="bg-BG"/>
              </w:rPr>
              <w:t>/201</w:t>
            </w:r>
            <w:r w:rsidRPr="008B2893">
              <w:rPr>
                <w:rFonts w:ascii="Times New Roman" w:hAnsi="Times New Roman" w:cs="Times New Roman"/>
                <w:sz w:val="24"/>
                <w:szCs w:val="24"/>
              </w:rPr>
              <w:t>7</w:t>
            </w:r>
          </w:p>
        </w:tc>
        <w:tc>
          <w:tcPr>
            <w:tcW w:w="2402"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rPr>
            </w:pPr>
            <w:r w:rsidRPr="008B2893">
              <w:rPr>
                <w:rFonts w:ascii="Times New Roman" w:hAnsi="Times New Roman" w:cs="Times New Roman"/>
                <w:sz w:val="24"/>
                <w:szCs w:val="24"/>
                <w:lang w:val="bg-BG"/>
              </w:rPr>
              <w:t>201</w:t>
            </w:r>
            <w:r w:rsidRPr="008B2893">
              <w:rPr>
                <w:rFonts w:ascii="Times New Roman" w:hAnsi="Times New Roman" w:cs="Times New Roman"/>
                <w:sz w:val="24"/>
                <w:szCs w:val="24"/>
              </w:rPr>
              <w:t>7</w:t>
            </w:r>
            <w:r w:rsidRPr="008B2893">
              <w:rPr>
                <w:rFonts w:ascii="Times New Roman" w:hAnsi="Times New Roman" w:cs="Times New Roman"/>
                <w:sz w:val="24"/>
                <w:szCs w:val="24"/>
                <w:lang w:val="bg-BG"/>
              </w:rPr>
              <w:t>/201</w:t>
            </w:r>
            <w:r w:rsidRPr="008B2893">
              <w:rPr>
                <w:rFonts w:ascii="Times New Roman" w:hAnsi="Times New Roman" w:cs="Times New Roman"/>
                <w:sz w:val="24"/>
                <w:szCs w:val="24"/>
              </w:rPr>
              <w:t>8</w:t>
            </w:r>
          </w:p>
        </w:tc>
      </w:tr>
      <w:tr w:rsidR="008B2893" w:rsidRPr="008B2893" w:rsidTr="00886225">
        <w:tc>
          <w:tcPr>
            <w:tcW w:w="2469"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Община Летница</w:t>
            </w:r>
          </w:p>
        </w:tc>
        <w:tc>
          <w:tcPr>
            <w:tcW w:w="2402"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rPr>
            </w:pPr>
            <w:r w:rsidRPr="008B2893">
              <w:rPr>
                <w:rFonts w:ascii="Times New Roman" w:hAnsi="Times New Roman" w:cs="Times New Roman"/>
                <w:sz w:val="24"/>
                <w:szCs w:val="24"/>
              </w:rPr>
              <w:t>33</w:t>
            </w:r>
          </w:p>
        </w:tc>
        <w:tc>
          <w:tcPr>
            <w:tcW w:w="2402" w:type="dxa"/>
            <w:shd w:val="clear" w:color="auto" w:fill="auto"/>
          </w:tcPr>
          <w:p w:rsidR="008B2893" w:rsidRPr="008B2893" w:rsidRDefault="008B2893" w:rsidP="00A24CF3">
            <w:pPr>
              <w:pStyle w:val="ListParagraph"/>
              <w:spacing w:line="240" w:lineRule="auto"/>
              <w:ind w:hanging="720"/>
              <w:jc w:val="both"/>
              <w:rPr>
                <w:rFonts w:ascii="Times New Roman" w:hAnsi="Times New Roman" w:cs="Times New Roman"/>
                <w:sz w:val="24"/>
                <w:szCs w:val="24"/>
              </w:rPr>
            </w:pPr>
            <w:r w:rsidRPr="008B2893">
              <w:rPr>
                <w:rFonts w:ascii="Times New Roman" w:hAnsi="Times New Roman" w:cs="Times New Roman"/>
                <w:sz w:val="24"/>
                <w:szCs w:val="24"/>
              </w:rPr>
              <w:t>35</w:t>
            </w:r>
          </w:p>
        </w:tc>
      </w:tr>
    </w:tbl>
    <w:p w:rsidR="008B2893" w:rsidRPr="008B2893" w:rsidRDefault="008B2893" w:rsidP="00A24CF3">
      <w:pPr>
        <w:pStyle w:val="ListParagraph"/>
        <w:spacing w:line="240" w:lineRule="auto"/>
        <w:ind w:hanging="720"/>
        <w:jc w:val="both"/>
        <w:rPr>
          <w:rFonts w:ascii="Times New Roman" w:hAnsi="Times New Roman" w:cs="Times New Roman"/>
          <w:sz w:val="24"/>
          <w:szCs w:val="24"/>
          <w:lang w:val="bg-BG"/>
        </w:rPr>
      </w:pPr>
    </w:p>
    <w:p w:rsidR="008B2893" w:rsidRPr="008B2893" w:rsidRDefault="008B2893" w:rsidP="00A24CF3">
      <w:pPr>
        <w:pStyle w:val="ListParagraph"/>
        <w:spacing w:line="240" w:lineRule="auto"/>
        <w:ind w:left="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В СУ „Бачо Киро“ в гр. Летница се обучават ученици от различни етнически общности от гр. Летница, гр. Павликени и селата Крушуна, Кърпачево, Горско Сливово, Чавдарци, Каменец, Одърне, Асеновци и Александрово. През учебните 201</w:t>
      </w:r>
      <w:r w:rsidRPr="008B2893">
        <w:rPr>
          <w:rFonts w:ascii="Times New Roman" w:hAnsi="Times New Roman" w:cs="Times New Roman"/>
          <w:sz w:val="24"/>
          <w:szCs w:val="24"/>
        </w:rPr>
        <w:t>6</w:t>
      </w:r>
      <w:r w:rsidRPr="008B2893">
        <w:rPr>
          <w:rFonts w:ascii="Times New Roman" w:hAnsi="Times New Roman" w:cs="Times New Roman"/>
          <w:sz w:val="24"/>
          <w:szCs w:val="24"/>
          <w:lang w:val="bg-BG"/>
        </w:rPr>
        <w:t>/201</w:t>
      </w:r>
      <w:r w:rsidRPr="008B2893">
        <w:rPr>
          <w:rFonts w:ascii="Times New Roman" w:hAnsi="Times New Roman" w:cs="Times New Roman"/>
          <w:sz w:val="24"/>
          <w:szCs w:val="24"/>
        </w:rPr>
        <w:t>7</w:t>
      </w:r>
      <w:r w:rsidRPr="008B2893">
        <w:rPr>
          <w:rFonts w:ascii="Times New Roman" w:hAnsi="Times New Roman" w:cs="Times New Roman"/>
          <w:sz w:val="24"/>
          <w:szCs w:val="24"/>
          <w:lang w:val="bg-BG"/>
        </w:rPr>
        <w:t xml:space="preserve"> и 201</w:t>
      </w:r>
      <w:r w:rsidRPr="008B2893">
        <w:rPr>
          <w:rFonts w:ascii="Times New Roman" w:hAnsi="Times New Roman" w:cs="Times New Roman"/>
          <w:sz w:val="24"/>
          <w:szCs w:val="24"/>
        </w:rPr>
        <w:t>7</w:t>
      </w:r>
      <w:r w:rsidRPr="008B2893">
        <w:rPr>
          <w:rFonts w:ascii="Times New Roman" w:hAnsi="Times New Roman" w:cs="Times New Roman"/>
          <w:sz w:val="24"/>
          <w:szCs w:val="24"/>
          <w:lang w:val="bg-BG"/>
        </w:rPr>
        <w:t>/201</w:t>
      </w:r>
      <w:r w:rsidRPr="008B2893">
        <w:rPr>
          <w:rFonts w:ascii="Times New Roman" w:hAnsi="Times New Roman" w:cs="Times New Roman"/>
          <w:sz w:val="24"/>
          <w:szCs w:val="24"/>
        </w:rPr>
        <w:t>8</w:t>
      </w:r>
      <w:r w:rsidRPr="008B2893">
        <w:rPr>
          <w:rFonts w:ascii="Times New Roman" w:hAnsi="Times New Roman" w:cs="Times New Roman"/>
          <w:sz w:val="24"/>
          <w:szCs w:val="24"/>
          <w:lang w:val="bg-BG"/>
        </w:rPr>
        <w:t xml:space="preserve"> години в училището са се обучавали както следва:</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201</w:t>
      </w:r>
      <w:r w:rsidRPr="00A24CF3">
        <w:rPr>
          <w:rFonts w:ascii="Times New Roman" w:hAnsi="Times New Roman" w:cs="Times New Roman"/>
          <w:sz w:val="24"/>
          <w:szCs w:val="24"/>
        </w:rPr>
        <w:t>6</w:t>
      </w:r>
      <w:r w:rsidRPr="00A24CF3">
        <w:rPr>
          <w:rFonts w:ascii="Times New Roman" w:hAnsi="Times New Roman" w:cs="Times New Roman"/>
          <w:sz w:val="24"/>
          <w:szCs w:val="24"/>
          <w:lang w:val="bg-BG"/>
        </w:rPr>
        <w:t>/201</w:t>
      </w:r>
      <w:r w:rsidRPr="00A24CF3">
        <w:rPr>
          <w:rFonts w:ascii="Times New Roman" w:hAnsi="Times New Roman" w:cs="Times New Roman"/>
          <w:sz w:val="24"/>
          <w:szCs w:val="24"/>
        </w:rPr>
        <w:t>7</w:t>
      </w:r>
      <w:r w:rsidRPr="00A24CF3">
        <w:rPr>
          <w:rFonts w:ascii="Times New Roman" w:hAnsi="Times New Roman" w:cs="Times New Roman"/>
          <w:sz w:val="24"/>
          <w:szCs w:val="24"/>
          <w:lang w:val="bg-BG"/>
        </w:rPr>
        <w:t xml:space="preserve"> год. – </w:t>
      </w:r>
      <w:r w:rsidRPr="00A24CF3">
        <w:rPr>
          <w:rFonts w:ascii="Times New Roman" w:hAnsi="Times New Roman" w:cs="Times New Roman"/>
          <w:sz w:val="24"/>
          <w:szCs w:val="24"/>
        </w:rPr>
        <w:t>410</w:t>
      </w:r>
      <w:r w:rsidRPr="00A24CF3">
        <w:rPr>
          <w:rFonts w:ascii="Times New Roman" w:hAnsi="Times New Roman" w:cs="Times New Roman"/>
          <w:sz w:val="24"/>
          <w:szCs w:val="24"/>
          <w:lang w:val="bg-BG"/>
        </w:rPr>
        <w:t xml:space="preserve"> ученика, от тях </w:t>
      </w:r>
      <w:r w:rsidRPr="00A24CF3">
        <w:rPr>
          <w:rFonts w:ascii="Times New Roman" w:hAnsi="Times New Roman" w:cs="Times New Roman"/>
          <w:sz w:val="24"/>
          <w:szCs w:val="24"/>
        </w:rPr>
        <w:t>77</w:t>
      </w:r>
      <w:r w:rsidRPr="00A24CF3">
        <w:rPr>
          <w:rFonts w:ascii="Times New Roman" w:hAnsi="Times New Roman" w:cs="Times New Roman"/>
          <w:sz w:val="24"/>
          <w:szCs w:val="24"/>
          <w:lang w:val="bg-BG"/>
        </w:rPr>
        <w:t>,50% ученици от различни етноси, обслужвани от 3</w:t>
      </w:r>
      <w:r w:rsidRPr="00A24CF3">
        <w:rPr>
          <w:rFonts w:ascii="Times New Roman" w:hAnsi="Times New Roman" w:cs="Times New Roman"/>
          <w:sz w:val="24"/>
          <w:szCs w:val="24"/>
        </w:rPr>
        <w:t>8</w:t>
      </w:r>
      <w:r w:rsidRPr="00A24CF3">
        <w:rPr>
          <w:rFonts w:ascii="Times New Roman" w:hAnsi="Times New Roman" w:cs="Times New Roman"/>
          <w:sz w:val="24"/>
          <w:szCs w:val="24"/>
          <w:lang w:val="bg-BG"/>
        </w:rPr>
        <w:t xml:space="preserve"> броя педагогически персонал и 13 броя непедагогически персонал;</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201</w:t>
      </w:r>
      <w:r w:rsidRPr="00A24CF3">
        <w:rPr>
          <w:rFonts w:ascii="Times New Roman" w:hAnsi="Times New Roman" w:cs="Times New Roman"/>
          <w:sz w:val="24"/>
          <w:szCs w:val="24"/>
        </w:rPr>
        <w:t>7</w:t>
      </w:r>
      <w:r w:rsidRPr="00A24CF3">
        <w:rPr>
          <w:rFonts w:ascii="Times New Roman" w:hAnsi="Times New Roman" w:cs="Times New Roman"/>
          <w:sz w:val="24"/>
          <w:szCs w:val="24"/>
          <w:lang w:val="bg-BG"/>
        </w:rPr>
        <w:t>/201</w:t>
      </w:r>
      <w:r w:rsidRPr="00A24CF3">
        <w:rPr>
          <w:rFonts w:ascii="Times New Roman" w:hAnsi="Times New Roman" w:cs="Times New Roman"/>
          <w:sz w:val="24"/>
          <w:szCs w:val="24"/>
        </w:rPr>
        <w:t>8</w:t>
      </w:r>
      <w:r w:rsidRPr="00A24CF3">
        <w:rPr>
          <w:rFonts w:ascii="Times New Roman" w:hAnsi="Times New Roman" w:cs="Times New Roman"/>
          <w:sz w:val="24"/>
          <w:szCs w:val="24"/>
          <w:lang w:val="bg-BG"/>
        </w:rPr>
        <w:t xml:space="preserve"> год. –</w:t>
      </w:r>
      <w:r w:rsidRPr="00A24CF3">
        <w:rPr>
          <w:rFonts w:ascii="Times New Roman" w:hAnsi="Times New Roman" w:cs="Times New Roman"/>
          <w:sz w:val="24"/>
          <w:szCs w:val="24"/>
        </w:rPr>
        <w:t xml:space="preserve"> 394</w:t>
      </w:r>
      <w:r w:rsidRPr="00A24CF3">
        <w:rPr>
          <w:rFonts w:ascii="Times New Roman" w:hAnsi="Times New Roman" w:cs="Times New Roman"/>
          <w:sz w:val="24"/>
          <w:szCs w:val="24"/>
          <w:lang w:val="bg-BG"/>
        </w:rPr>
        <w:t xml:space="preserve"> ученика, от тях 80,00</w:t>
      </w:r>
      <w:r w:rsidRPr="00A24CF3">
        <w:rPr>
          <w:rFonts w:ascii="Times New Roman" w:hAnsi="Times New Roman" w:cs="Times New Roman"/>
          <w:sz w:val="24"/>
          <w:szCs w:val="24"/>
        </w:rPr>
        <w:t xml:space="preserve"> </w:t>
      </w:r>
      <w:r w:rsidRPr="00A24CF3">
        <w:rPr>
          <w:rFonts w:ascii="Times New Roman" w:hAnsi="Times New Roman" w:cs="Times New Roman"/>
          <w:sz w:val="24"/>
          <w:szCs w:val="24"/>
          <w:lang w:val="bg-BG"/>
        </w:rPr>
        <w:t xml:space="preserve">% от различни етноси, обслужвани от </w:t>
      </w:r>
      <w:r w:rsidRPr="00A24CF3">
        <w:rPr>
          <w:rFonts w:ascii="Times New Roman" w:hAnsi="Times New Roman" w:cs="Times New Roman"/>
          <w:sz w:val="24"/>
          <w:szCs w:val="24"/>
        </w:rPr>
        <w:t>34</w:t>
      </w:r>
      <w:r w:rsidRPr="00A24CF3">
        <w:rPr>
          <w:rFonts w:ascii="Times New Roman" w:hAnsi="Times New Roman" w:cs="Times New Roman"/>
          <w:sz w:val="24"/>
          <w:szCs w:val="24"/>
          <w:lang w:val="bg-BG"/>
        </w:rPr>
        <w:t xml:space="preserve"> броя педагогически персонал и 1</w:t>
      </w:r>
      <w:r w:rsidRPr="00A24CF3">
        <w:rPr>
          <w:rFonts w:ascii="Times New Roman" w:hAnsi="Times New Roman" w:cs="Times New Roman"/>
          <w:sz w:val="24"/>
          <w:szCs w:val="24"/>
        </w:rPr>
        <w:t>2</w:t>
      </w:r>
      <w:r w:rsidRPr="00A24CF3">
        <w:rPr>
          <w:rFonts w:ascii="Times New Roman" w:hAnsi="Times New Roman" w:cs="Times New Roman"/>
          <w:sz w:val="24"/>
          <w:szCs w:val="24"/>
          <w:lang w:val="bg-BG"/>
        </w:rPr>
        <w:t xml:space="preserve"> броя непедагогически персонал.</w:t>
      </w:r>
    </w:p>
    <w:p w:rsidR="008B2893" w:rsidRPr="00A24CF3" w:rsidRDefault="008B2893" w:rsidP="00A24CF3">
      <w:pPr>
        <w:spacing w:line="240" w:lineRule="auto"/>
        <w:contextualSpacing/>
        <w:jc w:val="both"/>
        <w:rPr>
          <w:rFonts w:ascii="Times New Roman" w:hAnsi="Times New Roman" w:cs="Times New Roman"/>
          <w:sz w:val="24"/>
          <w:szCs w:val="24"/>
        </w:rPr>
      </w:pPr>
      <w:r w:rsidRPr="00A24CF3">
        <w:rPr>
          <w:rFonts w:ascii="Times New Roman" w:hAnsi="Times New Roman" w:cs="Times New Roman"/>
          <w:sz w:val="24"/>
          <w:szCs w:val="24"/>
          <w:lang w:val="bg-BG"/>
        </w:rPr>
        <w:t>Сформирани са</w:t>
      </w:r>
      <w:r w:rsidRPr="00A24CF3">
        <w:rPr>
          <w:rFonts w:ascii="Times New Roman" w:hAnsi="Times New Roman" w:cs="Times New Roman"/>
          <w:sz w:val="24"/>
          <w:szCs w:val="24"/>
        </w:rPr>
        <w:t xml:space="preserve"> 5бр.</w:t>
      </w:r>
      <w:r w:rsidRPr="00A24CF3">
        <w:rPr>
          <w:rFonts w:ascii="Times New Roman" w:hAnsi="Times New Roman" w:cs="Times New Roman"/>
          <w:sz w:val="24"/>
          <w:szCs w:val="24"/>
          <w:lang w:val="bg-BG"/>
        </w:rPr>
        <w:t xml:space="preserve"> паралелки</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които изучават специалността</w:t>
      </w:r>
      <w:r w:rsidRPr="00A24CF3">
        <w:rPr>
          <w:rFonts w:ascii="Times New Roman" w:hAnsi="Times New Roman" w:cs="Times New Roman"/>
          <w:sz w:val="24"/>
          <w:szCs w:val="24"/>
        </w:rPr>
        <w:t xml:space="preserve"> </w:t>
      </w:r>
      <w:r w:rsidRPr="00A24CF3">
        <w:rPr>
          <w:rFonts w:ascii="Times New Roman" w:hAnsi="Times New Roman" w:cs="Times New Roman"/>
          <w:sz w:val="24"/>
          <w:szCs w:val="24"/>
          <w:lang w:val="bg-BG"/>
        </w:rPr>
        <w:t>„Производство на кулинарни изделия</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напитки</w:t>
      </w:r>
      <w:r w:rsidRPr="00A24CF3">
        <w:rPr>
          <w:rFonts w:ascii="Times New Roman" w:hAnsi="Times New Roman" w:cs="Times New Roman"/>
          <w:sz w:val="24"/>
          <w:szCs w:val="24"/>
        </w:rPr>
        <w:t>“ и</w:t>
      </w:r>
      <w:r w:rsidRPr="00A24CF3">
        <w:rPr>
          <w:rFonts w:ascii="Times New Roman" w:hAnsi="Times New Roman" w:cs="Times New Roman"/>
          <w:sz w:val="24"/>
          <w:szCs w:val="24"/>
          <w:lang w:val="bg-BG"/>
        </w:rPr>
        <w:t xml:space="preserve"> придобиват професионална квалификация</w:t>
      </w:r>
      <w:r w:rsidRPr="00A24CF3">
        <w:rPr>
          <w:rFonts w:ascii="Times New Roman" w:hAnsi="Times New Roman" w:cs="Times New Roman"/>
          <w:sz w:val="24"/>
          <w:szCs w:val="24"/>
        </w:rPr>
        <w:t xml:space="preserve"> </w:t>
      </w:r>
      <w:r w:rsidRPr="00A24CF3">
        <w:rPr>
          <w:rFonts w:ascii="Times New Roman" w:hAnsi="Times New Roman" w:cs="Times New Roman"/>
          <w:sz w:val="24"/>
          <w:szCs w:val="24"/>
          <w:lang w:val="bg-BG"/>
        </w:rPr>
        <w:t>„Готвач</w:t>
      </w:r>
      <w:r w:rsidRPr="00A24CF3">
        <w:rPr>
          <w:rFonts w:ascii="Times New Roman" w:hAnsi="Times New Roman" w:cs="Times New Roman"/>
          <w:sz w:val="24"/>
          <w:szCs w:val="24"/>
        </w:rPr>
        <w:t>“ .</w:t>
      </w:r>
    </w:p>
    <w:p w:rsidR="008B2893" w:rsidRPr="008B2893" w:rsidRDefault="008B2893" w:rsidP="00A24CF3">
      <w:pPr>
        <w:pStyle w:val="ListParagraph"/>
        <w:spacing w:line="240" w:lineRule="auto"/>
        <w:ind w:left="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За повишаване качеството на образованието, като предпоставка за развитие на личността на всеки ученик и предотвратяване на преждевременното напускане на училище, СУ „Бачо Киро“ работи по следните програми и проекти:</w:t>
      </w:r>
    </w:p>
    <w:p w:rsidR="008B2893" w:rsidRPr="00E03162" w:rsidRDefault="008B2893" w:rsidP="004C1FE0">
      <w:pPr>
        <w:pStyle w:val="ListParagraph"/>
        <w:numPr>
          <w:ilvl w:val="0"/>
          <w:numId w:val="13"/>
        </w:numPr>
        <w:spacing w:line="240" w:lineRule="auto"/>
        <w:ind w:left="567"/>
        <w:jc w:val="both"/>
        <w:rPr>
          <w:rFonts w:ascii="Times New Roman" w:hAnsi="Times New Roman" w:cs="Times New Roman"/>
          <w:sz w:val="24"/>
          <w:szCs w:val="24"/>
          <w:lang w:val="bg-BG"/>
        </w:rPr>
      </w:pPr>
      <w:r w:rsidRPr="00E03162">
        <w:rPr>
          <w:rFonts w:ascii="Times New Roman" w:hAnsi="Times New Roman" w:cs="Times New Roman"/>
          <w:sz w:val="24"/>
          <w:szCs w:val="24"/>
          <w:lang w:val="bg-BG"/>
        </w:rPr>
        <w:t>Проект „Всеки ученик ще бъде отличник“ – в партньорство с ЦМДТ „</w:t>
      </w:r>
      <w:proofErr w:type="spellStart"/>
      <w:r w:rsidRPr="00E03162">
        <w:rPr>
          <w:rFonts w:ascii="Times New Roman" w:hAnsi="Times New Roman" w:cs="Times New Roman"/>
          <w:sz w:val="24"/>
          <w:szCs w:val="24"/>
          <w:lang w:val="bg-BG"/>
        </w:rPr>
        <w:t>Амалипе</w:t>
      </w:r>
      <w:proofErr w:type="spellEnd"/>
      <w:r w:rsidRPr="00E03162">
        <w:rPr>
          <w:rFonts w:ascii="Times New Roman" w:hAnsi="Times New Roman" w:cs="Times New Roman"/>
          <w:sz w:val="24"/>
          <w:szCs w:val="24"/>
          <w:lang w:val="bg-BG"/>
        </w:rPr>
        <w:t>“ и Тръст за социална алтернатива</w:t>
      </w:r>
      <w:r w:rsidR="00E03162" w:rsidRPr="00E03162">
        <w:rPr>
          <w:rFonts w:ascii="Times New Roman" w:hAnsi="Times New Roman" w:cs="Times New Roman"/>
          <w:sz w:val="24"/>
          <w:szCs w:val="24"/>
          <w:lang w:val="bg-BG"/>
        </w:rPr>
        <w:t>.</w:t>
      </w:r>
    </w:p>
    <w:p w:rsidR="00E03162" w:rsidRPr="00A24CF3" w:rsidRDefault="00E03162" w:rsidP="00A24CF3">
      <w:pPr>
        <w:spacing w:line="240" w:lineRule="auto"/>
        <w:contextualSpacing/>
        <w:jc w:val="both"/>
        <w:rPr>
          <w:rFonts w:ascii="Times New Roman" w:hAnsi="Times New Roman" w:cs="Times New Roman"/>
          <w:sz w:val="24"/>
          <w:szCs w:val="24"/>
          <w:lang w:val="bg-BG"/>
        </w:rPr>
      </w:pP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Нетния коефициент на записване на децата в детските градини в общината през учебната 201</w:t>
      </w:r>
      <w:r w:rsidRPr="00A24CF3">
        <w:rPr>
          <w:rFonts w:ascii="Times New Roman" w:hAnsi="Times New Roman" w:cs="Times New Roman"/>
          <w:sz w:val="24"/>
          <w:szCs w:val="24"/>
        </w:rPr>
        <w:t>6</w:t>
      </w:r>
      <w:r w:rsidRPr="00A24CF3">
        <w:rPr>
          <w:rFonts w:ascii="Times New Roman" w:hAnsi="Times New Roman" w:cs="Times New Roman"/>
          <w:sz w:val="24"/>
          <w:szCs w:val="24"/>
          <w:lang w:val="bg-BG"/>
        </w:rPr>
        <w:t>-201</w:t>
      </w:r>
      <w:r w:rsidRPr="00A24CF3">
        <w:rPr>
          <w:rFonts w:ascii="Times New Roman" w:hAnsi="Times New Roman" w:cs="Times New Roman"/>
          <w:sz w:val="24"/>
          <w:szCs w:val="24"/>
        </w:rPr>
        <w:t>7</w:t>
      </w:r>
      <w:r w:rsidRPr="00A24CF3">
        <w:rPr>
          <w:rFonts w:ascii="Times New Roman" w:hAnsi="Times New Roman" w:cs="Times New Roman"/>
          <w:sz w:val="24"/>
          <w:szCs w:val="24"/>
          <w:lang w:val="bg-BG"/>
        </w:rPr>
        <w:t xml:space="preserve"> - 90%</w:t>
      </w:r>
      <w:r w:rsidR="00E03162">
        <w:rPr>
          <w:rFonts w:ascii="Times New Roman" w:hAnsi="Times New Roman" w:cs="Times New Roman"/>
          <w:sz w:val="24"/>
          <w:szCs w:val="24"/>
          <w:lang w:val="bg-BG"/>
        </w:rPr>
        <w:t>.</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Нетния коефициент за записване на децата в училище 1-4 клас в общината през учебната 201</w:t>
      </w:r>
      <w:r w:rsidRPr="00A24CF3">
        <w:rPr>
          <w:rFonts w:ascii="Times New Roman" w:hAnsi="Times New Roman" w:cs="Times New Roman"/>
          <w:sz w:val="24"/>
          <w:szCs w:val="24"/>
        </w:rPr>
        <w:t>6</w:t>
      </w:r>
      <w:r w:rsidRPr="00A24CF3">
        <w:rPr>
          <w:rFonts w:ascii="Times New Roman" w:hAnsi="Times New Roman" w:cs="Times New Roman"/>
          <w:sz w:val="24"/>
          <w:szCs w:val="24"/>
          <w:lang w:val="bg-BG"/>
        </w:rPr>
        <w:t>-201</w:t>
      </w:r>
      <w:r w:rsidRPr="00A24CF3">
        <w:rPr>
          <w:rFonts w:ascii="Times New Roman" w:hAnsi="Times New Roman" w:cs="Times New Roman"/>
          <w:sz w:val="24"/>
          <w:szCs w:val="24"/>
        </w:rPr>
        <w:t>7</w:t>
      </w:r>
      <w:r w:rsidRPr="00A24CF3">
        <w:rPr>
          <w:rFonts w:ascii="Times New Roman" w:hAnsi="Times New Roman" w:cs="Times New Roman"/>
          <w:sz w:val="24"/>
          <w:szCs w:val="24"/>
          <w:lang w:val="bg-BG"/>
        </w:rPr>
        <w:t xml:space="preserve"> г. - 70%</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Дял на преждевременно напусналите образователната система  за 201</w:t>
      </w:r>
      <w:r w:rsidRPr="00A24CF3">
        <w:rPr>
          <w:rFonts w:ascii="Times New Roman" w:hAnsi="Times New Roman" w:cs="Times New Roman"/>
          <w:sz w:val="24"/>
          <w:szCs w:val="24"/>
        </w:rPr>
        <w:t>6-2017</w:t>
      </w:r>
      <w:r w:rsidRPr="00A24CF3">
        <w:rPr>
          <w:rFonts w:ascii="Times New Roman" w:hAnsi="Times New Roman" w:cs="Times New Roman"/>
          <w:sz w:val="24"/>
          <w:szCs w:val="24"/>
          <w:lang w:val="bg-BG"/>
        </w:rPr>
        <w:t xml:space="preserve"> г. в съответната община (Брой на записаните в детски градини и училища от 1 до 12 клас на 15.09.201</w:t>
      </w:r>
      <w:r w:rsidRPr="00A24CF3">
        <w:rPr>
          <w:rFonts w:ascii="Times New Roman" w:hAnsi="Times New Roman" w:cs="Times New Roman"/>
          <w:sz w:val="24"/>
          <w:szCs w:val="24"/>
        </w:rPr>
        <w:t>6</w:t>
      </w:r>
      <w:r w:rsidRPr="00A24CF3">
        <w:rPr>
          <w:rFonts w:ascii="Times New Roman" w:hAnsi="Times New Roman" w:cs="Times New Roman"/>
          <w:sz w:val="24"/>
          <w:szCs w:val="24"/>
          <w:lang w:val="bg-BG"/>
        </w:rPr>
        <w:t xml:space="preserve"> г. и брой на отпадналите от 1 до 12 клас на 15.09.201</w:t>
      </w:r>
      <w:r w:rsidRPr="00A24CF3">
        <w:rPr>
          <w:rFonts w:ascii="Times New Roman" w:hAnsi="Times New Roman" w:cs="Times New Roman"/>
          <w:sz w:val="24"/>
          <w:szCs w:val="24"/>
        </w:rPr>
        <w:t>6</w:t>
      </w:r>
      <w:r w:rsidRPr="00A24CF3">
        <w:rPr>
          <w:rFonts w:ascii="Times New Roman" w:hAnsi="Times New Roman" w:cs="Times New Roman"/>
          <w:sz w:val="24"/>
          <w:szCs w:val="24"/>
          <w:lang w:val="bg-BG"/>
        </w:rPr>
        <w:t xml:space="preserve"> г. към 30.06.201</w:t>
      </w:r>
      <w:r w:rsidRPr="00A24CF3">
        <w:rPr>
          <w:rFonts w:ascii="Times New Roman" w:hAnsi="Times New Roman" w:cs="Times New Roman"/>
          <w:sz w:val="24"/>
          <w:szCs w:val="24"/>
        </w:rPr>
        <w:t>7</w:t>
      </w:r>
      <w:r w:rsidRPr="00A24CF3">
        <w:rPr>
          <w:rFonts w:ascii="Times New Roman" w:hAnsi="Times New Roman" w:cs="Times New Roman"/>
          <w:sz w:val="24"/>
          <w:szCs w:val="24"/>
          <w:lang w:val="bg-BG"/>
        </w:rPr>
        <w:t xml:space="preserve"> г.):</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записани в детска градини за 201</w:t>
      </w:r>
      <w:r w:rsidRPr="00A24CF3">
        <w:rPr>
          <w:rFonts w:ascii="Times New Roman" w:hAnsi="Times New Roman" w:cs="Times New Roman"/>
          <w:sz w:val="24"/>
          <w:szCs w:val="24"/>
        </w:rPr>
        <w:t>6</w:t>
      </w:r>
      <w:r w:rsidRPr="00A24CF3">
        <w:rPr>
          <w:rFonts w:ascii="Times New Roman" w:hAnsi="Times New Roman" w:cs="Times New Roman"/>
          <w:sz w:val="24"/>
          <w:szCs w:val="24"/>
          <w:lang w:val="bg-BG"/>
        </w:rPr>
        <w:t>/201</w:t>
      </w:r>
      <w:r w:rsidRPr="00A24CF3">
        <w:rPr>
          <w:rFonts w:ascii="Times New Roman" w:hAnsi="Times New Roman" w:cs="Times New Roman"/>
          <w:sz w:val="24"/>
          <w:szCs w:val="24"/>
        </w:rPr>
        <w:t>7</w:t>
      </w:r>
      <w:r w:rsidRPr="00A24CF3">
        <w:rPr>
          <w:rFonts w:ascii="Times New Roman" w:hAnsi="Times New Roman" w:cs="Times New Roman"/>
          <w:sz w:val="24"/>
          <w:szCs w:val="24"/>
          <w:lang w:val="bg-BG"/>
        </w:rPr>
        <w:t xml:space="preserve"> – 137 деца/ отпаднали – 11 деца</w:t>
      </w:r>
    </w:p>
    <w:p w:rsidR="007B04E3" w:rsidRDefault="008B2893" w:rsidP="007B04E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записани в училище от 1 до 12 клас за 201</w:t>
      </w:r>
      <w:r w:rsidRPr="00A24CF3">
        <w:rPr>
          <w:rFonts w:ascii="Times New Roman" w:hAnsi="Times New Roman" w:cs="Times New Roman"/>
          <w:sz w:val="24"/>
          <w:szCs w:val="24"/>
        </w:rPr>
        <w:t>6</w:t>
      </w:r>
      <w:r w:rsidRPr="00A24CF3">
        <w:rPr>
          <w:rFonts w:ascii="Times New Roman" w:hAnsi="Times New Roman" w:cs="Times New Roman"/>
          <w:sz w:val="24"/>
          <w:szCs w:val="24"/>
          <w:lang w:val="bg-BG"/>
        </w:rPr>
        <w:t>/201</w:t>
      </w:r>
      <w:r w:rsidRPr="00A24CF3">
        <w:rPr>
          <w:rFonts w:ascii="Times New Roman" w:hAnsi="Times New Roman" w:cs="Times New Roman"/>
          <w:sz w:val="24"/>
          <w:szCs w:val="24"/>
        </w:rPr>
        <w:t>7</w:t>
      </w:r>
      <w:r w:rsidRPr="00A24CF3">
        <w:rPr>
          <w:rFonts w:ascii="Times New Roman" w:hAnsi="Times New Roman" w:cs="Times New Roman"/>
          <w:sz w:val="24"/>
          <w:szCs w:val="24"/>
          <w:lang w:val="bg-BG"/>
        </w:rPr>
        <w:t xml:space="preserve"> – 397 ученици/ отпаднали – </w:t>
      </w:r>
      <w:r w:rsidRPr="00A24CF3">
        <w:rPr>
          <w:rFonts w:ascii="Times New Roman" w:hAnsi="Times New Roman" w:cs="Times New Roman"/>
          <w:sz w:val="24"/>
          <w:szCs w:val="24"/>
        </w:rPr>
        <w:t>1</w:t>
      </w:r>
      <w:r w:rsidR="007B04E3">
        <w:rPr>
          <w:rFonts w:ascii="Times New Roman" w:hAnsi="Times New Roman" w:cs="Times New Roman"/>
          <w:sz w:val="24"/>
          <w:szCs w:val="24"/>
          <w:lang w:val="bg-BG"/>
        </w:rPr>
        <w:t xml:space="preserve"> ученик.</w:t>
      </w:r>
    </w:p>
    <w:p w:rsidR="008B2893" w:rsidRPr="007B04E3" w:rsidRDefault="008B2893" w:rsidP="007B04E3">
      <w:pPr>
        <w:spacing w:line="240" w:lineRule="auto"/>
        <w:contextualSpacing/>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 xml:space="preserve">Отпадналите ученици за периода са деца от етнически малцинства </w:t>
      </w:r>
      <w:r w:rsidR="007B04E3">
        <w:rPr>
          <w:rFonts w:ascii="Times New Roman" w:hAnsi="Times New Roman" w:cs="Times New Roman"/>
          <w:sz w:val="24"/>
          <w:szCs w:val="24"/>
          <w:lang w:val="bg-BG"/>
        </w:rPr>
        <w:t>и деца с нисък социален статус.</w:t>
      </w:r>
      <w:r w:rsidR="00E03162">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В СУ „Бачо Киро“ са въведени часове по свободно избираема подготовка (СИП): английски език, информационни технологии, околна среда, технологии, екология, изобразително изкуство и гражданско образование, както и  секции по борба, хандбал и футбол</w:t>
      </w:r>
      <w:r w:rsidR="00E03162">
        <w:rPr>
          <w:rFonts w:ascii="Times New Roman" w:hAnsi="Times New Roman" w:cs="Times New Roman"/>
          <w:sz w:val="24"/>
          <w:szCs w:val="24"/>
          <w:lang w:val="bg-BG"/>
        </w:rPr>
        <w:t>:</w:t>
      </w:r>
    </w:p>
    <w:p w:rsidR="008B2893" w:rsidRPr="00A24CF3" w:rsidRDefault="008B2893" w:rsidP="00A24CF3">
      <w:pPr>
        <w:spacing w:line="240" w:lineRule="auto"/>
        <w:contextualSpacing/>
        <w:jc w:val="both"/>
        <w:rPr>
          <w:rFonts w:ascii="Times New Roman" w:hAnsi="Times New Roman" w:cs="Times New Roman"/>
          <w:sz w:val="24"/>
          <w:szCs w:val="24"/>
        </w:rPr>
      </w:pPr>
      <w:r w:rsidRPr="00A24CF3">
        <w:rPr>
          <w:rFonts w:ascii="Times New Roman" w:hAnsi="Times New Roman" w:cs="Times New Roman"/>
          <w:sz w:val="24"/>
          <w:szCs w:val="24"/>
          <w:lang w:val="bg-BG"/>
        </w:rPr>
        <w:t xml:space="preserve">В началото на 2016-2017 учебна година, училището почна работа по ОП „Наука и образование за интелигентен растеж“ 2014-2020 г., Процедура на директно предоставяне на безвъзмездна финансова помощ: </w:t>
      </w:r>
      <w:r w:rsidRPr="00A24CF3">
        <w:rPr>
          <w:rFonts w:ascii="Times New Roman" w:hAnsi="Times New Roman" w:cs="Times New Roman"/>
          <w:sz w:val="24"/>
          <w:szCs w:val="24"/>
        </w:rPr>
        <w:t>BG05M20P001-2.004</w:t>
      </w:r>
      <w:r w:rsidRPr="00A24CF3">
        <w:rPr>
          <w:rFonts w:ascii="Times New Roman" w:hAnsi="Times New Roman" w:cs="Times New Roman"/>
          <w:sz w:val="24"/>
          <w:szCs w:val="24"/>
          <w:lang w:val="bg-BG"/>
        </w:rPr>
        <w:t xml:space="preserve"> „РАЗВИТИЕ НА СПОСОБНОСТИТЕ НА УЧЕНИЦИТЕ И ПОВИШАВАНЕ НА МОТИВАЦИЯТА ИМ ЗА УЧЕНЕ ЧРЕЗ ДЕЙНОСТИ, РАЗВИВАЩИ СПЕЦИФИЧНИ ЗНАНИЯ, УМЕНИЯ И КОМПЕТЕНТНОСТИ (ТВОЯТ ЧАС). Работата по проекта позволи създаването на допълнителни часове по СИП: </w:t>
      </w:r>
      <w:proofErr w:type="spellStart"/>
      <w:r w:rsidRPr="00A24CF3">
        <w:rPr>
          <w:rFonts w:ascii="Times New Roman" w:hAnsi="Times New Roman" w:cs="Times New Roman"/>
          <w:sz w:val="24"/>
          <w:szCs w:val="24"/>
          <w:lang w:val="bg-BG"/>
        </w:rPr>
        <w:t>автомоделизъм</w:t>
      </w:r>
      <w:proofErr w:type="spellEnd"/>
      <w:r w:rsidRPr="00A24CF3">
        <w:rPr>
          <w:rFonts w:ascii="Times New Roman" w:hAnsi="Times New Roman" w:cs="Times New Roman"/>
          <w:sz w:val="24"/>
          <w:szCs w:val="24"/>
          <w:lang w:val="bg-BG"/>
        </w:rPr>
        <w:t>, волейбол, футбол, изкуството и ние, икономика и бюджет, майсторство, хранене и здраве, сценична група</w:t>
      </w:r>
      <w:r w:rsidR="00E03162">
        <w:rPr>
          <w:rFonts w:ascii="Times New Roman" w:hAnsi="Times New Roman" w:cs="Times New Roman"/>
          <w:sz w:val="24"/>
          <w:szCs w:val="24"/>
          <w:lang w:val="bg-BG"/>
        </w:rPr>
        <w:t>.</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В партньорство със Сдружение „Знание“ – Ловеч и ДГ „Ирина Бачо Кирова“ пр</w:t>
      </w:r>
      <w:r w:rsidR="00E03162">
        <w:rPr>
          <w:rFonts w:ascii="Times New Roman" w:hAnsi="Times New Roman" w:cs="Times New Roman"/>
          <w:sz w:val="24"/>
          <w:szCs w:val="24"/>
          <w:lang w:val="bg-BG"/>
        </w:rPr>
        <w:t xml:space="preserve">одължава изпълнението на Проект </w:t>
      </w:r>
      <w:r w:rsidRPr="00A24CF3">
        <w:rPr>
          <w:rFonts w:ascii="Times New Roman" w:hAnsi="Times New Roman" w:cs="Times New Roman"/>
          <w:sz w:val="24"/>
          <w:szCs w:val="24"/>
          <w:lang w:val="bg-BG"/>
        </w:rPr>
        <w:t xml:space="preserve">"Стъпка към училище". Целта на проекта е да бъдат създадени условия за подпомагане на децата от етническите малцинства и </w:t>
      </w:r>
      <w:proofErr w:type="spellStart"/>
      <w:r w:rsidRPr="00A24CF3">
        <w:rPr>
          <w:rFonts w:ascii="Times New Roman" w:hAnsi="Times New Roman" w:cs="Times New Roman"/>
          <w:sz w:val="24"/>
          <w:szCs w:val="24"/>
          <w:lang w:val="bg-BG"/>
        </w:rPr>
        <w:t>маргинализирани</w:t>
      </w:r>
      <w:proofErr w:type="spellEnd"/>
      <w:r w:rsidRPr="00A24CF3">
        <w:rPr>
          <w:rFonts w:ascii="Times New Roman" w:hAnsi="Times New Roman" w:cs="Times New Roman"/>
          <w:sz w:val="24"/>
          <w:szCs w:val="24"/>
          <w:lang w:val="bg-BG"/>
        </w:rPr>
        <w:t xml:space="preserve"> обществени групи да се изградят като пълноценни граждани и за успешната им социална, професионална и личностна реализация. Дейностите по проекта се изпълняват през цялата 2017 г., продължават и през 2018 г. Проектът се реализира с финансовата подкрепа на ЕСФ чрез ОП „Наука и образование за интелигентен растеж“</w:t>
      </w:r>
      <w:r w:rsidRPr="00A24CF3">
        <w:rPr>
          <w:rFonts w:ascii="Times New Roman" w:hAnsi="Times New Roman" w:cs="Times New Roman"/>
          <w:sz w:val="24"/>
          <w:szCs w:val="24"/>
        </w:rPr>
        <w:t xml:space="preserve"> 2014-2020</w:t>
      </w:r>
      <w:r w:rsidRPr="00A24CF3">
        <w:rPr>
          <w:rFonts w:ascii="Times New Roman" w:hAnsi="Times New Roman" w:cs="Times New Roman"/>
          <w:sz w:val="24"/>
          <w:szCs w:val="24"/>
          <w:lang w:val="bg-BG"/>
        </w:rPr>
        <w:t xml:space="preserve"> по процедура „Подкрепа за предучилищното възпитание и подготовка на деца в неравностойно положение“.</w:t>
      </w:r>
      <w:r w:rsidR="007B04E3">
        <w:rPr>
          <w:rFonts w:ascii="Times New Roman" w:hAnsi="Times New Roman" w:cs="Times New Roman"/>
          <w:sz w:val="24"/>
          <w:szCs w:val="24"/>
          <w:lang w:val="bg-BG"/>
        </w:rPr>
        <w:t xml:space="preserve"> </w:t>
      </w:r>
      <w:r w:rsidRPr="008B2893">
        <w:rPr>
          <w:rFonts w:ascii="Times New Roman" w:hAnsi="Times New Roman" w:cs="Times New Roman"/>
          <w:sz w:val="24"/>
          <w:szCs w:val="24"/>
          <w:lang w:val="bg-BG"/>
        </w:rPr>
        <w:t xml:space="preserve">В рамките на двугодишен период, проектът работи за мотивиране и ангажиране на родителите при възпитанието и обучението на децата като ги насърчава и подпомага в процеса на постъпване в първи клас. В серия от дейности, насочени към откриване, развитие и изява на таланти, целим да приобщим и насърчим деца от етнически малцинства да посещават детската градина като стъпка към продължаване на обучението в училище. Ден на талантите, Приказен бал, Спортни делници и празници, кулинарни демонстрации дават възможност на децата да се изявят, с помощта на родителите си. В заниманията по толерантност децата по достъпен начин ще учат за толерантност, добронамереност и ценността на различието. Клуб „Защо?” дава отговор на множеството въпроси, които децата задават и </w:t>
      </w:r>
      <w:proofErr w:type="spellStart"/>
      <w:r w:rsidRPr="008B2893">
        <w:rPr>
          <w:rFonts w:ascii="Times New Roman" w:hAnsi="Times New Roman" w:cs="Times New Roman"/>
          <w:sz w:val="24"/>
          <w:szCs w:val="24"/>
          <w:lang w:val="bg-BG"/>
        </w:rPr>
        <w:t>промотира</w:t>
      </w:r>
      <w:proofErr w:type="spellEnd"/>
      <w:r w:rsidRPr="008B2893">
        <w:rPr>
          <w:rFonts w:ascii="Times New Roman" w:hAnsi="Times New Roman" w:cs="Times New Roman"/>
          <w:sz w:val="24"/>
          <w:szCs w:val="24"/>
          <w:lang w:val="bg-BG"/>
        </w:rPr>
        <w:t xml:space="preserve"> знанието и ученето като средство за успех. Креативните работилници целят да създадат усещането за общност и общо създаване на красиви предмети като начин да се възпитава толерантност и недискриминация. За деца със затруднения в изразяването на български език ще бъдат организирани допълнителни занимания за подготовка. Образователната детска библиотека към ОДЗ „Ирина Бачо Кирова” ще предостави възможност на учители и родители да се възползват от най-актуалната художествена и научна литература за деца и възпитание на деца. Проектът работи и за преодоляване на негативните нагласи в обществото по отношение на етническите малцинства. </w:t>
      </w:r>
      <w:r w:rsidRPr="00A24CF3">
        <w:rPr>
          <w:rFonts w:ascii="Times New Roman" w:hAnsi="Times New Roman" w:cs="Times New Roman"/>
          <w:sz w:val="24"/>
          <w:szCs w:val="24"/>
          <w:lang w:val="bg-BG"/>
        </w:rPr>
        <w:t>Ежегодно СУ „Бачо Киро“ организира кампании за пътна безопасност, съвместно с Полицейското управление гр. Летница.</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Три</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от</w:t>
      </w:r>
      <w:proofErr w:type="spellEnd"/>
      <w:r w:rsidRPr="00A24CF3">
        <w:rPr>
          <w:rFonts w:ascii="Times New Roman" w:hAnsi="Times New Roman" w:cs="Times New Roman"/>
          <w:sz w:val="24"/>
          <w:szCs w:val="24"/>
          <w:lang w:val="bg-BG"/>
        </w:rPr>
        <w:t xml:space="preserve"> библиотеките</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на</w:t>
      </w:r>
      <w:proofErr w:type="spellEnd"/>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територията</w:t>
      </w:r>
      <w:proofErr w:type="spellEnd"/>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на</w:t>
      </w:r>
      <w:proofErr w:type="spellEnd"/>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общината</w:t>
      </w:r>
      <w:proofErr w:type="spellEnd"/>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са</w:t>
      </w:r>
      <w:proofErr w:type="spellEnd"/>
      <w:r w:rsidRPr="00A24CF3">
        <w:rPr>
          <w:rFonts w:ascii="Times New Roman" w:hAnsi="Times New Roman" w:cs="Times New Roman"/>
          <w:sz w:val="24"/>
          <w:szCs w:val="24"/>
          <w:lang w:val="bg-BG"/>
        </w:rPr>
        <w:t xml:space="preserve"> включени</w:t>
      </w:r>
      <w:r w:rsidRPr="00A24CF3">
        <w:rPr>
          <w:rFonts w:ascii="Times New Roman" w:hAnsi="Times New Roman" w:cs="Times New Roman"/>
          <w:sz w:val="24"/>
          <w:szCs w:val="24"/>
        </w:rPr>
        <w:t xml:space="preserve"> в </w:t>
      </w:r>
      <w:proofErr w:type="spellStart"/>
      <w:r w:rsidRPr="00A24CF3">
        <w:rPr>
          <w:rFonts w:ascii="Times New Roman" w:hAnsi="Times New Roman" w:cs="Times New Roman"/>
          <w:sz w:val="24"/>
          <w:szCs w:val="24"/>
        </w:rPr>
        <w:t>Програмата</w:t>
      </w:r>
      <w:proofErr w:type="spellEnd"/>
      <w:r w:rsidRPr="00A24CF3">
        <w:rPr>
          <w:rFonts w:ascii="Times New Roman" w:hAnsi="Times New Roman" w:cs="Times New Roman"/>
          <w:sz w:val="24"/>
          <w:szCs w:val="24"/>
        </w:rPr>
        <w:t xml:space="preserve"> </w:t>
      </w:r>
      <w:r w:rsidRPr="00A24CF3">
        <w:rPr>
          <w:rFonts w:ascii="Times New Roman" w:hAnsi="Times New Roman" w:cs="Times New Roman"/>
          <w:sz w:val="24"/>
          <w:szCs w:val="24"/>
          <w:lang w:val="bg-BG"/>
        </w:rPr>
        <w:t>„Глобални библиотеки</w:t>
      </w:r>
      <w:r w:rsidRPr="00A24CF3">
        <w:rPr>
          <w:rFonts w:ascii="Times New Roman" w:hAnsi="Times New Roman" w:cs="Times New Roman"/>
          <w:sz w:val="24"/>
          <w:szCs w:val="24"/>
        </w:rPr>
        <w:t xml:space="preserve"> – </w:t>
      </w:r>
      <w:proofErr w:type="spellStart"/>
      <w:r w:rsidRPr="00A24CF3">
        <w:rPr>
          <w:rFonts w:ascii="Times New Roman" w:hAnsi="Times New Roman" w:cs="Times New Roman"/>
          <w:sz w:val="24"/>
          <w:szCs w:val="24"/>
        </w:rPr>
        <w:t>България</w:t>
      </w:r>
      <w:proofErr w:type="spellEnd"/>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оборудвани</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са</w:t>
      </w:r>
      <w:proofErr w:type="spellEnd"/>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безплатно</w:t>
      </w:r>
      <w:proofErr w:type="spellEnd"/>
      <w:r w:rsidRPr="00A24CF3">
        <w:rPr>
          <w:rFonts w:ascii="Times New Roman" w:hAnsi="Times New Roman" w:cs="Times New Roman"/>
          <w:sz w:val="24"/>
          <w:szCs w:val="24"/>
        </w:rPr>
        <w:t xml:space="preserve"> с </w:t>
      </w:r>
      <w:proofErr w:type="spellStart"/>
      <w:r w:rsidRPr="00A24CF3">
        <w:rPr>
          <w:rFonts w:ascii="Times New Roman" w:hAnsi="Times New Roman" w:cs="Times New Roman"/>
          <w:sz w:val="24"/>
          <w:szCs w:val="24"/>
        </w:rPr>
        <w:t>информационни</w:t>
      </w:r>
      <w:proofErr w:type="spellEnd"/>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комуникационни технологии</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Интернет</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което</w:t>
      </w:r>
      <w:proofErr w:type="spellEnd"/>
      <w:r w:rsidRPr="00A24CF3">
        <w:rPr>
          <w:rFonts w:ascii="Times New Roman" w:hAnsi="Times New Roman" w:cs="Times New Roman"/>
          <w:sz w:val="24"/>
          <w:szCs w:val="24"/>
          <w:lang w:val="bg-BG"/>
        </w:rPr>
        <w:t xml:space="preserve"> помогна</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на</w:t>
      </w:r>
      <w:proofErr w:type="spellEnd"/>
      <w:r w:rsidRPr="00A24CF3">
        <w:rPr>
          <w:rFonts w:ascii="Times New Roman" w:hAnsi="Times New Roman" w:cs="Times New Roman"/>
          <w:sz w:val="24"/>
          <w:szCs w:val="24"/>
          <w:lang w:val="bg-BG"/>
        </w:rPr>
        <w:t xml:space="preserve"> библиотеките</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да</w:t>
      </w:r>
      <w:proofErr w:type="spellEnd"/>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се</w:t>
      </w:r>
      <w:proofErr w:type="spellEnd"/>
      <w:r w:rsidRPr="00A24CF3">
        <w:rPr>
          <w:rFonts w:ascii="Times New Roman" w:hAnsi="Times New Roman" w:cs="Times New Roman"/>
          <w:sz w:val="24"/>
          <w:szCs w:val="24"/>
          <w:lang w:val="bg-BG"/>
        </w:rPr>
        <w:t xml:space="preserve"> развиват</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като</w:t>
      </w:r>
      <w:proofErr w:type="spellEnd"/>
      <w:r w:rsidRPr="00A24CF3">
        <w:rPr>
          <w:rFonts w:ascii="Times New Roman" w:hAnsi="Times New Roman" w:cs="Times New Roman"/>
          <w:sz w:val="24"/>
          <w:szCs w:val="24"/>
          <w:lang w:val="bg-BG"/>
        </w:rPr>
        <w:t xml:space="preserve"> значими местни средища</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за</w:t>
      </w:r>
      <w:proofErr w:type="spellEnd"/>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информация</w:t>
      </w:r>
      <w:proofErr w:type="spellEnd"/>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комуникация</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обучение</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знания</w:t>
      </w:r>
      <w:proofErr w:type="spellEnd"/>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културна дейност</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Библиотеките формират активна мрежа</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която</w:t>
      </w:r>
      <w:proofErr w:type="spellEnd"/>
      <w:r w:rsidRPr="00A24CF3">
        <w:rPr>
          <w:rFonts w:ascii="Times New Roman" w:hAnsi="Times New Roman" w:cs="Times New Roman"/>
          <w:sz w:val="24"/>
          <w:szCs w:val="24"/>
          <w:lang w:val="bg-BG"/>
        </w:rPr>
        <w:t xml:space="preserve"> съдейства</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за</w:t>
      </w:r>
      <w:proofErr w:type="spellEnd"/>
      <w:r w:rsidRPr="00A24CF3">
        <w:rPr>
          <w:rFonts w:ascii="Times New Roman" w:hAnsi="Times New Roman" w:cs="Times New Roman"/>
          <w:sz w:val="24"/>
          <w:szCs w:val="24"/>
          <w:lang w:val="bg-BG"/>
        </w:rPr>
        <w:t xml:space="preserve"> приобщаване</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на</w:t>
      </w:r>
      <w:proofErr w:type="spellEnd"/>
      <w:r w:rsidRPr="00A24CF3">
        <w:rPr>
          <w:rFonts w:ascii="Times New Roman" w:hAnsi="Times New Roman" w:cs="Times New Roman"/>
          <w:sz w:val="24"/>
          <w:szCs w:val="24"/>
          <w:lang w:val="bg-BG"/>
        </w:rPr>
        <w:t xml:space="preserve"> младите хора</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към</w:t>
      </w:r>
      <w:proofErr w:type="spellEnd"/>
      <w:r w:rsidRPr="00A24CF3">
        <w:rPr>
          <w:rFonts w:ascii="Times New Roman" w:hAnsi="Times New Roman" w:cs="Times New Roman"/>
          <w:sz w:val="24"/>
          <w:szCs w:val="24"/>
          <w:lang w:val="bg-BG"/>
        </w:rPr>
        <w:t xml:space="preserve"> глобалното информационно общество.</w:t>
      </w:r>
    </w:p>
    <w:p w:rsidR="008B2893" w:rsidRPr="00A24CF3" w:rsidRDefault="008B2893" w:rsidP="00A24CF3">
      <w:pPr>
        <w:spacing w:line="240" w:lineRule="auto"/>
        <w:contextualSpacing/>
        <w:jc w:val="both"/>
        <w:rPr>
          <w:rFonts w:ascii="Times New Roman" w:hAnsi="Times New Roman" w:cs="Times New Roman"/>
          <w:sz w:val="24"/>
          <w:szCs w:val="24"/>
        </w:rPr>
      </w:pPr>
      <w:r w:rsidRPr="00A24CF3">
        <w:rPr>
          <w:rFonts w:ascii="Times New Roman" w:hAnsi="Times New Roman" w:cs="Times New Roman"/>
          <w:sz w:val="24"/>
          <w:szCs w:val="24"/>
          <w:lang w:val="bg-BG"/>
        </w:rPr>
        <w:t>Ежегодно</w:t>
      </w:r>
      <w:r w:rsidRPr="00A24CF3">
        <w:rPr>
          <w:rFonts w:ascii="Times New Roman" w:hAnsi="Times New Roman" w:cs="Times New Roman"/>
          <w:sz w:val="24"/>
          <w:szCs w:val="24"/>
        </w:rPr>
        <w:t xml:space="preserve"> </w:t>
      </w:r>
      <w:proofErr w:type="spellStart"/>
      <w:r w:rsidRPr="00A24CF3">
        <w:rPr>
          <w:rFonts w:ascii="Times New Roman" w:hAnsi="Times New Roman" w:cs="Times New Roman"/>
          <w:sz w:val="24"/>
          <w:szCs w:val="24"/>
        </w:rPr>
        <w:t>се</w:t>
      </w:r>
      <w:proofErr w:type="spellEnd"/>
      <w:r w:rsidRPr="00A24CF3">
        <w:rPr>
          <w:rFonts w:ascii="Times New Roman" w:hAnsi="Times New Roman" w:cs="Times New Roman"/>
          <w:sz w:val="24"/>
          <w:szCs w:val="24"/>
          <w:lang w:val="bg-BG"/>
        </w:rPr>
        <w:t xml:space="preserve"> обогатяват библиотечни сбирки</w:t>
      </w:r>
      <w:r w:rsidRPr="00A24CF3">
        <w:rPr>
          <w:rFonts w:ascii="Times New Roman" w:hAnsi="Times New Roman" w:cs="Times New Roman"/>
          <w:sz w:val="24"/>
          <w:szCs w:val="24"/>
        </w:rPr>
        <w:t xml:space="preserve"> в</w:t>
      </w:r>
      <w:r w:rsidRPr="00A24CF3">
        <w:rPr>
          <w:rFonts w:ascii="Times New Roman" w:hAnsi="Times New Roman" w:cs="Times New Roman"/>
          <w:sz w:val="24"/>
          <w:szCs w:val="24"/>
          <w:lang w:val="bg-BG"/>
        </w:rPr>
        <w:t xml:space="preserve"> читалищата</w:t>
      </w:r>
      <w:r w:rsidRPr="00A24CF3">
        <w:rPr>
          <w:rFonts w:ascii="Times New Roman" w:hAnsi="Times New Roman" w:cs="Times New Roman"/>
          <w:sz w:val="24"/>
          <w:szCs w:val="24"/>
        </w:rPr>
        <w:t xml:space="preserve"> в</w:t>
      </w:r>
      <w:r w:rsidRPr="00A24CF3">
        <w:rPr>
          <w:rFonts w:ascii="Times New Roman" w:hAnsi="Times New Roman" w:cs="Times New Roman"/>
          <w:sz w:val="24"/>
          <w:szCs w:val="24"/>
          <w:lang w:val="bg-BG"/>
        </w:rPr>
        <w:t xml:space="preserve"> гр.Летница</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с.</w:t>
      </w:r>
      <w:r w:rsidR="00E03162">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Горско Сливово</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с.</w:t>
      </w:r>
      <w:r w:rsidR="00E03162">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Крушуна</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с.</w:t>
      </w:r>
      <w:r w:rsidR="00E03162">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Кърпачево.</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 xml:space="preserve">На територията на общината в гр. Летница са регистрирани три амбулатории за първична медицинска помощ – индивидуални практики с трима </w:t>
      </w:r>
      <w:proofErr w:type="spellStart"/>
      <w:r w:rsidRPr="00A24CF3">
        <w:rPr>
          <w:rFonts w:ascii="Times New Roman" w:hAnsi="Times New Roman" w:cs="Times New Roman"/>
          <w:sz w:val="24"/>
          <w:szCs w:val="24"/>
          <w:lang w:val="bg-BG"/>
        </w:rPr>
        <w:t>общопрактикуващи</w:t>
      </w:r>
      <w:proofErr w:type="spellEnd"/>
      <w:r w:rsidRPr="00A24CF3">
        <w:rPr>
          <w:rFonts w:ascii="Times New Roman" w:hAnsi="Times New Roman" w:cs="Times New Roman"/>
          <w:sz w:val="24"/>
          <w:szCs w:val="24"/>
          <w:lang w:val="bg-BG"/>
        </w:rPr>
        <w:t xml:space="preserve"> лекари (ОПЛ) и един кабинет по </w:t>
      </w:r>
      <w:proofErr w:type="spellStart"/>
      <w:r w:rsidRPr="00A24CF3">
        <w:rPr>
          <w:rFonts w:ascii="Times New Roman" w:hAnsi="Times New Roman" w:cs="Times New Roman"/>
          <w:sz w:val="24"/>
          <w:szCs w:val="24"/>
          <w:lang w:val="bg-BG"/>
        </w:rPr>
        <w:t>дентална</w:t>
      </w:r>
      <w:proofErr w:type="spellEnd"/>
      <w:r w:rsidRPr="00A24CF3">
        <w:rPr>
          <w:rFonts w:ascii="Times New Roman" w:hAnsi="Times New Roman" w:cs="Times New Roman"/>
          <w:sz w:val="24"/>
          <w:szCs w:val="24"/>
          <w:lang w:val="bg-BG"/>
        </w:rPr>
        <w:t xml:space="preserve"> медицина с един стоматолог. В град Летница функционира филиал на Центъра за спешна медицинска помощ – Ловеч и една клинична лаборатория;  </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 xml:space="preserve">В ДГ „ Ирина Бачо Кирова“ - гр. Летница функционира една </w:t>
      </w:r>
      <w:proofErr w:type="spellStart"/>
      <w:r w:rsidRPr="00A24CF3">
        <w:rPr>
          <w:rFonts w:ascii="Times New Roman" w:hAnsi="Times New Roman" w:cs="Times New Roman"/>
          <w:sz w:val="24"/>
          <w:szCs w:val="24"/>
          <w:lang w:val="bg-BG"/>
        </w:rPr>
        <w:t>яслена</w:t>
      </w:r>
      <w:proofErr w:type="spellEnd"/>
      <w:r w:rsidRPr="00A24CF3">
        <w:rPr>
          <w:rFonts w:ascii="Times New Roman" w:hAnsi="Times New Roman" w:cs="Times New Roman"/>
          <w:sz w:val="24"/>
          <w:szCs w:val="24"/>
          <w:lang w:val="bg-BG"/>
        </w:rPr>
        <w:t xml:space="preserve"> група с капацитет 25 места. Децата от </w:t>
      </w:r>
      <w:proofErr w:type="spellStart"/>
      <w:r w:rsidRPr="00A24CF3">
        <w:rPr>
          <w:rFonts w:ascii="Times New Roman" w:hAnsi="Times New Roman" w:cs="Times New Roman"/>
          <w:sz w:val="24"/>
          <w:szCs w:val="24"/>
          <w:lang w:val="bg-BG"/>
        </w:rPr>
        <w:t>яслената</w:t>
      </w:r>
      <w:proofErr w:type="spellEnd"/>
      <w:r w:rsidRPr="00A24CF3">
        <w:rPr>
          <w:rFonts w:ascii="Times New Roman" w:hAnsi="Times New Roman" w:cs="Times New Roman"/>
          <w:sz w:val="24"/>
          <w:szCs w:val="24"/>
          <w:lang w:val="bg-BG"/>
        </w:rPr>
        <w:t xml:space="preserve"> група се </w:t>
      </w:r>
      <w:proofErr w:type="spellStart"/>
      <w:r w:rsidRPr="00A24CF3">
        <w:rPr>
          <w:rFonts w:ascii="Times New Roman" w:hAnsi="Times New Roman" w:cs="Times New Roman"/>
          <w:sz w:val="24"/>
          <w:szCs w:val="24"/>
          <w:lang w:val="bg-BG"/>
        </w:rPr>
        <w:t>обгрижват</w:t>
      </w:r>
      <w:proofErr w:type="spellEnd"/>
      <w:r w:rsidRPr="00A24CF3">
        <w:rPr>
          <w:rFonts w:ascii="Times New Roman" w:hAnsi="Times New Roman" w:cs="Times New Roman"/>
          <w:sz w:val="24"/>
          <w:szCs w:val="24"/>
          <w:lang w:val="bg-BG"/>
        </w:rPr>
        <w:t xml:space="preserve"> от две медицински сестри, педагог в ясла и една детегледачка. В ДГ „Ирина Бачо Кирова“ гр. Летница и СУ „Бачо Киро“ гр. Летница работят завеждащи „Здравн</w:t>
      </w:r>
      <w:r w:rsidR="00A24CF3">
        <w:rPr>
          <w:rFonts w:ascii="Times New Roman" w:hAnsi="Times New Roman" w:cs="Times New Roman"/>
          <w:sz w:val="24"/>
          <w:szCs w:val="24"/>
          <w:lang w:val="bg-BG"/>
        </w:rPr>
        <w:t xml:space="preserve">и кабинети“ медицински сестри. </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 xml:space="preserve">Дейността на здравния </w:t>
      </w:r>
      <w:proofErr w:type="spellStart"/>
      <w:r w:rsidRPr="00A24CF3">
        <w:rPr>
          <w:rFonts w:ascii="Times New Roman" w:hAnsi="Times New Roman" w:cs="Times New Roman"/>
          <w:sz w:val="24"/>
          <w:szCs w:val="24"/>
          <w:lang w:val="bg-BG"/>
        </w:rPr>
        <w:t>медиатор</w:t>
      </w:r>
      <w:proofErr w:type="spellEnd"/>
      <w:r w:rsidRPr="00A24CF3">
        <w:rPr>
          <w:rFonts w:ascii="Times New Roman" w:hAnsi="Times New Roman" w:cs="Times New Roman"/>
          <w:sz w:val="24"/>
          <w:szCs w:val="24"/>
          <w:lang w:val="bg-BG"/>
        </w:rPr>
        <w:t xml:space="preserve"> от  2015 г. продължава и през 2017 г. като де</w:t>
      </w:r>
      <w:r w:rsidR="007B04E3">
        <w:rPr>
          <w:rFonts w:ascii="Times New Roman" w:hAnsi="Times New Roman" w:cs="Times New Roman"/>
          <w:sz w:val="24"/>
          <w:szCs w:val="24"/>
          <w:lang w:val="bg-BG"/>
        </w:rPr>
        <w:t xml:space="preserve">легирана от държавата дейност. </w:t>
      </w:r>
      <w:r w:rsidRPr="008B2893">
        <w:rPr>
          <w:rFonts w:ascii="Times New Roman" w:hAnsi="Times New Roman" w:cs="Times New Roman"/>
          <w:sz w:val="24"/>
          <w:szCs w:val="24"/>
          <w:lang w:val="bg-BG"/>
        </w:rPr>
        <w:t>За отчетния перио</w:t>
      </w:r>
      <w:r w:rsidR="00E03162">
        <w:rPr>
          <w:rFonts w:ascii="Times New Roman" w:hAnsi="Times New Roman" w:cs="Times New Roman"/>
          <w:sz w:val="24"/>
          <w:szCs w:val="24"/>
          <w:lang w:val="bg-BG"/>
        </w:rPr>
        <w:t xml:space="preserve">д здравният </w:t>
      </w:r>
      <w:proofErr w:type="spellStart"/>
      <w:r w:rsidR="00E03162">
        <w:rPr>
          <w:rFonts w:ascii="Times New Roman" w:hAnsi="Times New Roman" w:cs="Times New Roman"/>
          <w:sz w:val="24"/>
          <w:szCs w:val="24"/>
          <w:lang w:val="bg-BG"/>
        </w:rPr>
        <w:t>медиатор</w:t>
      </w:r>
      <w:proofErr w:type="spellEnd"/>
      <w:r w:rsidR="00E03162">
        <w:rPr>
          <w:rFonts w:ascii="Times New Roman" w:hAnsi="Times New Roman" w:cs="Times New Roman"/>
          <w:sz w:val="24"/>
          <w:szCs w:val="24"/>
          <w:lang w:val="bg-BG"/>
        </w:rPr>
        <w:t xml:space="preserve"> е работил </w:t>
      </w:r>
      <w:r w:rsidRPr="008B2893">
        <w:rPr>
          <w:rFonts w:ascii="Times New Roman" w:hAnsi="Times New Roman" w:cs="Times New Roman"/>
          <w:sz w:val="24"/>
          <w:szCs w:val="24"/>
          <w:lang w:val="bg-BG"/>
        </w:rPr>
        <w:t xml:space="preserve">като посредник в процеса на осигуряване на достъп до здравни услуги на представители на уязвими малцинствени групи, за подобряване на профилактичните дейности сред ромското население, съдейства за осъществяване на планови имунизации, консултации, подготовка на документи, следване на процедури за представяне пред ТЕЛК, НЕЛК и ЛКК, придружаване до здравни институции, настаняване в здравни заведения, съдействие за възстановяване на здравноосигурителни права, придружаване до социални институции, съдействие за ползване на социални услуги, оказва консултантска помощ за семейно планиране и развитие на устойчиви семейни модели сред младите хора, включително и за развитие на умения за добро и отговорно </w:t>
      </w:r>
      <w:proofErr w:type="spellStart"/>
      <w:r w:rsidRPr="008B2893">
        <w:rPr>
          <w:rFonts w:ascii="Times New Roman" w:hAnsi="Times New Roman" w:cs="Times New Roman"/>
          <w:sz w:val="24"/>
          <w:szCs w:val="24"/>
          <w:lang w:val="bg-BG"/>
        </w:rPr>
        <w:t>родителство</w:t>
      </w:r>
      <w:proofErr w:type="spellEnd"/>
      <w:r w:rsidRPr="008B2893">
        <w:rPr>
          <w:rFonts w:ascii="Times New Roman" w:hAnsi="Times New Roman" w:cs="Times New Roman"/>
          <w:sz w:val="24"/>
          <w:szCs w:val="24"/>
          <w:lang w:val="bg-BG"/>
        </w:rPr>
        <w:t>, повишаване на здравните знания и информираността</w:t>
      </w:r>
      <w:r w:rsidR="00E03162">
        <w:rPr>
          <w:rFonts w:ascii="Times New Roman" w:hAnsi="Times New Roman" w:cs="Times New Roman"/>
          <w:sz w:val="24"/>
          <w:szCs w:val="24"/>
          <w:lang w:val="bg-BG"/>
        </w:rPr>
        <w:t xml:space="preserve"> на родителите</w:t>
      </w:r>
      <w:r w:rsidRPr="008B2893">
        <w:rPr>
          <w:rFonts w:ascii="Times New Roman" w:hAnsi="Times New Roman" w:cs="Times New Roman"/>
          <w:sz w:val="24"/>
          <w:szCs w:val="24"/>
          <w:lang w:val="bg-BG"/>
        </w:rPr>
        <w:t>.</w:t>
      </w:r>
      <w:r w:rsidR="007B04E3">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 xml:space="preserve">За 2017 г. в общината има 3 раждания на деца от </w:t>
      </w:r>
      <w:r w:rsidR="007B04E3">
        <w:rPr>
          <w:rFonts w:ascii="Times New Roman" w:hAnsi="Times New Roman" w:cs="Times New Roman"/>
          <w:sz w:val="24"/>
          <w:szCs w:val="24"/>
          <w:lang w:val="bg-BG"/>
        </w:rPr>
        <w:t xml:space="preserve">майки под 18 годишна възраст.  </w:t>
      </w:r>
      <w:r w:rsidRPr="00A24CF3">
        <w:rPr>
          <w:rFonts w:ascii="Times New Roman" w:hAnsi="Times New Roman" w:cs="Times New Roman"/>
          <w:sz w:val="24"/>
          <w:szCs w:val="24"/>
          <w:lang w:val="bg-BG"/>
        </w:rPr>
        <w:t>В Община Летница няма регистрирана дет</w:t>
      </w:r>
      <w:r w:rsidR="007B04E3">
        <w:rPr>
          <w:rFonts w:ascii="Times New Roman" w:hAnsi="Times New Roman" w:cs="Times New Roman"/>
          <w:sz w:val="24"/>
          <w:szCs w:val="24"/>
          <w:lang w:val="bg-BG"/>
        </w:rPr>
        <w:t xml:space="preserve">ска смъртност до 1 г. за 2017г. </w:t>
      </w:r>
      <w:r w:rsidRPr="00A24CF3">
        <w:rPr>
          <w:rFonts w:ascii="Times New Roman" w:hAnsi="Times New Roman" w:cs="Times New Roman"/>
          <w:sz w:val="24"/>
          <w:szCs w:val="24"/>
          <w:lang w:val="bg-BG"/>
        </w:rPr>
        <w:t>През 2017 година е организирана и про</w:t>
      </w:r>
      <w:r w:rsidR="00E03162">
        <w:rPr>
          <w:rFonts w:ascii="Times New Roman" w:hAnsi="Times New Roman" w:cs="Times New Roman"/>
          <w:sz w:val="24"/>
          <w:szCs w:val="24"/>
          <w:lang w:val="bg-BG"/>
        </w:rPr>
        <w:t xml:space="preserve">ведена </w:t>
      </w:r>
      <w:proofErr w:type="spellStart"/>
      <w:r w:rsidR="00E03162">
        <w:rPr>
          <w:rFonts w:ascii="Times New Roman" w:hAnsi="Times New Roman" w:cs="Times New Roman"/>
          <w:sz w:val="24"/>
          <w:szCs w:val="24"/>
          <w:lang w:val="bg-BG"/>
        </w:rPr>
        <w:t>антиспин</w:t>
      </w:r>
      <w:proofErr w:type="spellEnd"/>
      <w:r w:rsidR="00E03162">
        <w:rPr>
          <w:rFonts w:ascii="Times New Roman" w:hAnsi="Times New Roman" w:cs="Times New Roman"/>
          <w:sz w:val="24"/>
          <w:szCs w:val="24"/>
          <w:lang w:val="bg-BG"/>
        </w:rPr>
        <w:t xml:space="preserve"> кампания от РЗИ</w:t>
      </w:r>
      <w:r w:rsidRPr="00A24CF3">
        <w:rPr>
          <w:rFonts w:ascii="Times New Roman" w:hAnsi="Times New Roman" w:cs="Times New Roman"/>
          <w:sz w:val="24"/>
          <w:szCs w:val="24"/>
          <w:lang w:val="bg-BG"/>
        </w:rPr>
        <w:t xml:space="preserve"> Ловеч.   Извършени са изследвания за</w:t>
      </w:r>
      <w:r w:rsidR="007B04E3">
        <w:rPr>
          <w:rFonts w:ascii="Times New Roman" w:hAnsi="Times New Roman" w:cs="Times New Roman"/>
          <w:sz w:val="24"/>
          <w:szCs w:val="24"/>
          <w:lang w:val="bg-BG"/>
        </w:rPr>
        <w:t xml:space="preserve"> СПИН и туберкулоза на 16 лица. </w:t>
      </w:r>
      <w:r w:rsidRPr="00A24CF3">
        <w:rPr>
          <w:rFonts w:ascii="Times New Roman" w:hAnsi="Times New Roman" w:cs="Times New Roman"/>
          <w:sz w:val="24"/>
          <w:szCs w:val="24"/>
          <w:lang w:val="bg-BG"/>
        </w:rPr>
        <w:t>Заболеваемостта на територията в Община Летница  е изразена предимно в хипертонични, хронични и онкологични заболявания</w:t>
      </w:r>
      <w:r w:rsidRPr="00A24CF3">
        <w:rPr>
          <w:rFonts w:ascii="Times New Roman" w:hAnsi="Times New Roman" w:cs="Times New Roman"/>
          <w:sz w:val="24"/>
          <w:szCs w:val="24"/>
        </w:rPr>
        <w:t xml:space="preserve"> </w:t>
      </w:r>
      <w:r w:rsidRPr="00A24CF3">
        <w:rPr>
          <w:rFonts w:ascii="Times New Roman" w:hAnsi="Times New Roman" w:cs="Times New Roman"/>
          <w:sz w:val="24"/>
          <w:szCs w:val="24"/>
          <w:lang w:val="bg-BG"/>
        </w:rPr>
        <w:t>по и</w:t>
      </w:r>
      <w:r w:rsidR="007B04E3">
        <w:rPr>
          <w:rFonts w:ascii="Times New Roman" w:hAnsi="Times New Roman" w:cs="Times New Roman"/>
          <w:sz w:val="24"/>
          <w:szCs w:val="24"/>
          <w:lang w:val="bg-BG"/>
        </w:rPr>
        <w:t xml:space="preserve">нформация на Здравния </w:t>
      </w:r>
      <w:proofErr w:type="spellStart"/>
      <w:r w:rsidR="007B04E3">
        <w:rPr>
          <w:rFonts w:ascii="Times New Roman" w:hAnsi="Times New Roman" w:cs="Times New Roman"/>
          <w:sz w:val="24"/>
          <w:szCs w:val="24"/>
          <w:lang w:val="bg-BG"/>
        </w:rPr>
        <w:t>медиатор</w:t>
      </w:r>
      <w:proofErr w:type="spellEnd"/>
      <w:r w:rsidR="007B04E3">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В СУ „Бачо Киро“ гр. Летница е създаден „Младежки клуб на БЧК“. Благодарение на усиле</w:t>
      </w:r>
      <w:r w:rsidR="00E03162">
        <w:rPr>
          <w:rFonts w:ascii="Times New Roman" w:hAnsi="Times New Roman" w:cs="Times New Roman"/>
          <w:sz w:val="24"/>
          <w:szCs w:val="24"/>
          <w:lang w:val="bg-BG"/>
        </w:rPr>
        <w:t>ната работа на членовете в него</w:t>
      </w:r>
      <w:r w:rsidRPr="00A24CF3">
        <w:rPr>
          <w:rFonts w:ascii="Times New Roman" w:hAnsi="Times New Roman" w:cs="Times New Roman"/>
          <w:sz w:val="24"/>
          <w:szCs w:val="24"/>
          <w:lang w:val="bg-BG"/>
        </w:rPr>
        <w:t xml:space="preserve"> се организират дейности в сферата на здравна просвета, социално помощна дейност, хуманитарна помощ, първа помощ. </w:t>
      </w:r>
    </w:p>
    <w:p w:rsidR="008B2893" w:rsidRPr="008B2893" w:rsidRDefault="008B2893" w:rsidP="00A24CF3">
      <w:pPr>
        <w:pStyle w:val="ListParagraph"/>
        <w:spacing w:line="240" w:lineRule="auto"/>
        <w:ind w:left="0"/>
        <w:jc w:val="both"/>
        <w:rPr>
          <w:rFonts w:ascii="Times New Roman" w:hAnsi="Times New Roman" w:cs="Times New Roman"/>
          <w:sz w:val="24"/>
          <w:szCs w:val="24"/>
          <w:lang w:val="bg-BG"/>
        </w:rPr>
      </w:pPr>
      <w:r w:rsidRPr="008B2893">
        <w:rPr>
          <w:rFonts w:ascii="Times New Roman" w:hAnsi="Times New Roman" w:cs="Times New Roman"/>
          <w:sz w:val="24"/>
          <w:szCs w:val="24"/>
          <w:lang w:val="ru-RU"/>
        </w:rPr>
        <w:t>По</w:t>
      </w:r>
      <w:r w:rsidRPr="008B2893">
        <w:rPr>
          <w:rFonts w:ascii="Times New Roman" w:hAnsi="Times New Roman" w:cs="Times New Roman"/>
          <w:sz w:val="24"/>
          <w:szCs w:val="24"/>
          <w:lang w:val="bg-BG"/>
        </w:rPr>
        <w:t xml:space="preserve"> данни</w:t>
      </w:r>
      <w:r w:rsidRPr="008B2893">
        <w:rPr>
          <w:rFonts w:ascii="Times New Roman" w:hAnsi="Times New Roman" w:cs="Times New Roman"/>
          <w:sz w:val="24"/>
          <w:szCs w:val="24"/>
          <w:lang w:val="ru-RU"/>
        </w:rPr>
        <w:t xml:space="preserve"> от Бюро </w:t>
      </w:r>
      <w:proofErr w:type="gramStart"/>
      <w:r w:rsidRPr="008B2893">
        <w:rPr>
          <w:rFonts w:ascii="Times New Roman" w:hAnsi="Times New Roman" w:cs="Times New Roman"/>
          <w:sz w:val="24"/>
          <w:szCs w:val="24"/>
          <w:lang w:val="ru-RU"/>
        </w:rPr>
        <w:t>по</w:t>
      </w:r>
      <w:proofErr w:type="gramEnd"/>
      <w:r w:rsidRPr="008B2893">
        <w:rPr>
          <w:rFonts w:ascii="Times New Roman" w:hAnsi="Times New Roman" w:cs="Times New Roman"/>
          <w:sz w:val="24"/>
          <w:szCs w:val="24"/>
          <w:lang w:val="ru-RU"/>
        </w:rPr>
        <w:t xml:space="preserve"> </w:t>
      </w:r>
      <w:proofErr w:type="gramStart"/>
      <w:r w:rsidRPr="008B2893">
        <w:rPr>
          <w:rFonts w:ascii="Times New Roman" w:hAnsi="Times New Roman" w:cs="Times New Roman"/>
          <w:sz w:val="24"/>
          <w:szCs w:val="24"/>
          <w:lang w:val="ru-RU"/>
        </w:rPr>
        <w:t>труда</w:t>
      </w:r>
      <w:proofErr w:type="gramEnd"/>
      <w:r w:rsidRPr="008B2893">
        <w:rPr>
          <w:rFonts w:ascii="Times New Roman" w:hAnsi="Times New Roman" w:cs="Times New Roman"/>
          <w:sz w:val="24"/>
          <w:szCs w:val="24"/>
          <w:lang w:val="ru-RU"/>
        </w:rPr>
        <w:t xml:space="preserve"> –</w:t>
      </w:r>
      <w:r w:rsidRPr="008B2893">
        <w:rPr>
          <w:rFonts w:ascii="Times New Roman" w:hAnsi="Times New Roman" w:cs="Times New Roman"/>
          <w:sz w:val="24"/>
          <w:szCs w:val="24"/>
          <w:lang w:val="bg-BG"/>
        </w:rPr>
        <w:t xml:space="preserve"> Ловеч средногодишният брой регистрирани безработни лица от община Летница за 2017 г. са</w:t>
      </w:r>
      <w:r w:rsidRPr="008B2893">
        <w:rPr>
          <w:rFonts w:ascii="Times New Roman" w:hAnsi="Times New Roman" w:cs="Times New Roman"/>
          <w:sz w:val="24"/>
          <w:szCs w:val="24"/>
          <w:lang w:val="ru-RU"/>
        </w:rPr>
        <w:t xml:space="preserve"> 302, от</w:t>
      </w:r>
      <w:r w:rsidRPr="008B2893">
        <w:rPr>
          <w:rFonts w:ascii="Times New Roman" w:hAnsi="Times New Roman" w:cs="Times New Roman"/>
          <w:sz w:val="24"/>
          <w:szCs w:val="24"/>
          <w:lang w:val="bg-BG"/>
        </w:rPr>
        <w:t xml:space="preserve"> тях</w:t>
      </w:r>
      <w:r w:rsidRPr="008B2893">
        <w:rPr>
          <w:rFonts w:ascii="Times New Roman" w:hAnsi="Times New Roman" w:cs="Times New Roman"/>
          <w:sz w:val="24"/>
          <w:szCs w:val="24"/>
          <w:lang w:val="ru-RU"/>
        </w:rPr>
        <w:t xml:space="preserve"> 29 лица</w:t>
      </w:r>
      <w:r w:rsidRPr="008B2893">
        <w:rPr>
          <w:rFonts w:ascii="Times New Roman" w:hAnsi="Times New Roman" w:cs="Times New Roman"/>
          <w:sz w:val="24"/>
          <w:szCs w:val="24"/>
          <w:lang w:val="bg-BG"/>
        </w:rPr>
        <w:t xml:space="preserve"> са</w:t>
      </w:r>
      <w:r w:rsidRPr="008B2893">
        <w:rPr>
          <w:rFonts w:ascii="Times New Roman" w:hAnsi="Times New Roman" w:cs="Times New Roman"/>
          <w:sz w:val="24"/>
          <w:szCs w:val="24"/>
          <w:lang w:val="ru-RU"/>
        </w:rPr>
        <w:t xml:space="preserve"> се</w:t>
      </w:r>
      <w:r w:rsidRPr="008B2893">
        <w:rPr>
          <w:rFonts w:ascii="Times New Roman" w:hAnsi="Times New Roman" w:cs="Times New Roman"/>
          <w:sz w:val="24"/>
          <w:szCs w:val="24"/>
          <w:lang w:val="bg-BG"/>
        </w:rPr>
        <w:t xml:space="preserve"> самоопределили от различни етнически групи /турска, ромска, влашка, румънска и други/.</w:t>
      </w:r>
      <w:r w:rsidRPr="008B2893">
        <w:rPr>
          <w:rFonts w:ascii="Times New Roman" w:hAnsi="Times New Roman" w:cs="Times New Roman"/>
          <w:sz w:val="24"/>
          <w:szCs w:val="24"/>
          <w:lang w:val="ru-RU"/>
        </w:rPr>
        <w:t xml:space="preserve"> </w:t>
      </w:r>
    </w:p>
    <w:p w:rsidR="00E03162" w:rsidRDefault="008B2893" w:rsidP="007B04E3">
      <w:pPr>
        <w:pStyle w:val="ListParagraph"/>
        <w:spacing w:line="240" w:lineRule="auto"/>
        <w:ind w:left="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Равнището</w:t>
      </w:r>
      <w:r w:rsidRPr="008B2893">
        <w:rPr>
          <w:rFonts w:ascii="Times New Roman" w:hAnsi="Times New Roman" w:cs="Times New Roman"/>
          <w:sz w:val="24"/>
          <w:szCs w:val="24"/>
          <w:lang w:val="ru-RU"/>
        </w:rPr>
        <w:t xml:space="preserve"> на</w:t>
      </w:r>
      <w:r w:rsidRPr="008B2893">
        <w:rPr>
          <w:rFonts w:ascii="Times New Roman" w:hAnsi="Times New Roman" w:cs="Times New Roman"/>
          <w:sz w:val="24"/>
          <w:szCs w:val="24"/>
          <w:lang w:val="bg-BG"/>
        </w:rPr>
        <w:t xml:space="preserve"> безработицата</w:t>
      </w:r>
      <w:r w:rsidRPr="008B2893">
        <w:rPr>
          <w:rFonts w:ascii="Times New Roman" w:hAnsi="Times New Roman" w:cs="Times New Roman"/>
          <w:sz w:val="24"/>
          <w:szCs w:val="24"/>
          <w:lang w:val="ru-RU"/>
        </w:rPr>
        <w:t xml:space="preserve"> в</w:t>
      </w:r>
      <w:r w:rsidRPr="008B2893">
        <w:rPr>
          <w:rFonts w:ascii="Times New Roman" w:hAnsi="Times New Roman" w:cs="Times New Roman"/>
          <w:sz w:val="24"/>
          <w:szCs w:val="24"/>
          <w:lang w:val="bg-BG"/>
        </w:rPr>
        <w:t xml:space="preserve"> общината към</w:t>
      </w:r>
      <w:r w:rsidRPr="008B2893">
        <w:rPr>
          <w:rFonts w:ascii="Times New Roman" w:hAnsi="Times New Roman" w:cs="Times New Roman"/>
          <w:sz w:val="24"/>
          <w:szCs w:val="24"/>
          <w:lang w:val="ru-RU"/>
        </w:rPr>
        <w:t xml:space="preserve"> 31.12.2017 година е 21,01%, а</w:t>
      </w:r>
      <w:r w:rsidRPr="008B2893">
        <w:rPr>
          <w:rFonts w:ascii="Times New Roman" w:hAnsi="Times New Roman" w:cs="Times New Roman"/>
          <w:sz w:val="24"/>
          <w:szCs w:val="24"/>
          <w:lang w:val="bg-BG"/>
        </w:rPr>
        <w:t xml:space="preserve"> към</w:t>
      </w:r>
      <w:r w:rsidRPr="008B2893">
        <w:rPr>
          <w:rFonts w:ascii="Times New Roman" w:hAnsi="Times New Roman" w:cs="Times New Roman"/>
          <w:sz w:val="24"/>
          <w:szCs w:val="24"/>
          <w:lang w:val="ru-RU"/>
        </w:rPr>
        <w:t xml:space="preserve"> </w:t>
      </w:r>
      <w:r w:rsidR="007B04E3">
        <w:rPr>
          <w:rFonts w:ascii="Times New Roman" w:hAnsi="Times New Roman" w:cs="Times New Roman"/>
          <w:sz w:val="24"/>
          <w:szCs w:val="24"/>
          <w:lang w:val="ru-RU"/>
        </w:rPr>
        <w:t xml:space="preserve">31.12.2016 година 26,96%. </w:t>
      </w:r>
      <w:r w:rsidRPr="00A24CF3">
        <w:rPr>
          <w:rFonts w:ascii="Times New Roman" w:hAnsi="Times New Roman" w:cs="Times New Roman"/>
          <w:sz w:val="24"/>
          <w:szCs w:val="24"/>
          <w:lang w:val="bg-BG"/>
        </w:rPr>
        <w:t>През 2017 г. общо 248 регистрирани безработни са постъпили на работа, като от тях 4 лица са от етнически групи:</w:t>
      </w:r>
      <w:r w:rsidR="007B04E3">
        <w:rPr>
          <w:rFonts w:ascii="Times New Roman" w:hAnsi="Times New Roman" w:cs="Times New Roman"/>
          <w:sz w:val="24"/>
          <w:szCs w:val="24"/>
          <w:lang w:val="bg-BG"/>
        </w:rPr>
        <w:t xml:space="preserve"> </w:t>
      </w:r>
    </w:p>
    <w:p w:rsidR="007B04E3" w:rsidRDefault="008B2893" w:rsidP="004C1FE0">
      <w:pPr>
        <w:pStyle w:val="ListParagraph"/>
        <w:numPr>
          <w:ilvl w:val="0"/>
          <w:numId w:val="13"/>
        </w:numPr>
        <w:spacing w:line="240" w:lineRule="auto"/>
        <w:jc w:val="both"/>
        <w:rPr>
          <w:rFonts w:ascii="Times New Roman" w:hAnsi="Times New Roman" w:cs="Times New Roman"/>
          <w:sz w:val="24"/>
          <w:szCs w:val="24"/>
          <w:lang w:val="ru-RU"/>
        </w:rPr>
      </w:pPr>
      <w:r w:rsidRPr="00A24CF3">
        <w:rPr>
          <w:rFonts w:ascii="Times New Roman" w:hAnsi="Times New Roman" w:cs="Times New Roman"/>
          <w:sz w:val="24"/>
          <w:szCs w:val="24"/>
          <w:lang w:val="ru-RU"/>
        </w:rPr>
        <w:t>На</w:t>
      </w:r>
      <w:r w:rsidRPr="00A24CF3">
        <w:rPr>
          <w:rFonts w:ascii="Times New Roman" w:hAnsi="Times New Roman" w:cs="Times New Roman"/>
          <w:sz w:val="24"/>
          <w:szCs w:val="24"/>
          <w:lang w:val="bg-BG"/>
        </w:rPr>
        <w:t xml:space="preserve"> първичен</w:t>
      </w:r>
      <w:r w:rsidRPr="00A24CF3">
        <w:rPr>
          <w:rFonts w:ascii="Times New Roman" w:hAnsi="Times New Roman" w:cs="Times New Roman"/>
          <w:sz w:val="24"/>
          <w:szCs w:val="24"/>
          <w:lang w:val="ru-RU"/>
        </w:rPr>
        <w:t xml:space="preserve"> трудов</w:t>
      </w:r>
      <w:r w:rsidRPr="00A24CF3">
        <w:rPr>
          <w:rFonts w:ascii="Times New Roman" w:hAnsi="Times New Roman" w:cs="Times New Roman"/>
          <w:sz w:val="24"/>
          <w:szCs w:val="24"/>
          <w:lang w:val="bg-BG"/>
        </w:rPr>
        <w:t xml:space="preserve"> пазар</w:t>
      </w:r>
      <w:r w:rsidRPr="00A24CF3">
        <w:rPr>
          <w:rFonts w:ascii="Times New Roman" w:hAnsi="Times New Roman" w:cs="Times New Roman"/>
          <w:sz w:val="24"/>
          <w:szCs w:val="24"/>
          <w:lang w:val="ru-RU"/>
        </w:rPr>
        <w:t xml:space="preserve"> </w:t>
      </w:r>
      <w:proofErr w:type="spellStart"/>
      <w:r w:rsidRPr="00A24CF3">
        <w:rPr>
          <w:rFonts w:ascii="Times New Roman" w:hAnsi="Times New Roman" w:cs="Times New Roman"/>
          <w:sz w:val="24"/>
          <w:szCs w:val="24"/>
          <w:lang w:val="ru-RU"/>
        </w:rPr>
        <w:t>са</w:t>
      </w:r>
      <w:proofErr w:type="spellEnd"/>
      <w:r w:rsidRPr="00A24CF3">
        <w:rPr>
          <w:rFonts w:ascii="Times New Roman" w:hAnsi="Times New Roman" w:cs="Times New Roman"/>
          <w:sz w:val="24"/>
          <w:szCs w:val="24"/>
          <w:lang w:val="bg-BG"/>
        </w:rPr>
        <w:t xml:space="preserve"> постъпили</w:t>
      </w:r>
      <w:r w:rsidRPr="00A24CF3">
        <w:rPr>
          <w:rFonts w:ascii="Times New Roman" w:hAnsi="Times New Roman" w:cs="Times New Roman"/>
          <w:sz w:val="24"/>
          <w:szCs w:val="24"/>
          <w:lang w:val="ru-RU"/>
        </w:rPr>
        <w:t xml:space="preserve"> </w:t>
      </w:r>
      <w:proofErr w:type="gramStart"/>
      <w:r w:rsidRPr="00A24CF3">
        <w:rPr>
          <w:rFonts w:ascii="Times New Roman" w:hAnsi="Times New Roman" w:cs="Times New Roman"/>
          <w:sz w:val="24"/>
          <w:szCs w:val="24"/>
          <w:lang w:val="ru-RU"/>
        </w:rPr>
        <w:t>на</w:t>
      </w:r>
      <w:proofErr w:type="gramEnd"/>
      <w:r w:rsidRPr="00A24CF3">
        <w:rPr>
          <w:rFonts w:ascii="Times New Roman" w:hAnsi="Times New Roman" w:cs="Times New Roman"/>
          <w:sz w:val="24"/>
          <w:szCs w:val="24"/>
          <w:lang w:val="ru-RU"/>
        </w:rPr>
        <w:t xml:space="preserve"> </w:t>
      </w:r>
      <w:proofErr w:type="gramStart"/>
      <w:r w:rsidRPr="00A24CF3">
        <w:rPr>
          <w:rFonts w:ascii="Times New Roman" w:hAnsi="Times New Roman" w:cs="Times New Roman"/>
          <w:sz w:val="24"/>
          <w:szCs w:val="24"/>
          <w:lang w:val="ru-RU"/>
        </w:rPr>
        <w:t>работа</w:t>
      </w:r>
      <w:proofErr w:type="gramEnd"/>
      <w:r w:rsidRPr="00A24CF3">
        <w:rPr>
          <w:rFonts w:ascii="Times New Roman" w:hAnsi="Times New Roman" w:cs="Times New Roman"/>
          <w:sz w:val="24"/>
          <w:szCs w:val="24"/>
          <w:lang w:val="ru-RU"/>
        </w:rPr>
        <w:t xml:space="preserve"> 222 лица, от</w:t>
      </w:r>
      <w:r w:rsidRPr="00A24CF3">
        <w:rPr>
          <w:rFonts w:ascii="Times New Roman" w:hAnsi="Times New Roman" w:cs="Times New Roman"/>
          <w:sz w:val="24"/>
          <w:szCs w:val="24"/>
          <w:lang w:val="bg-BG"/>
        </w:rPr>
        <w:t xml:space="preserve"> тях</w:t>
      </w:r>
      <w:r w:rsidRPr="00A24CF3">
        <w:rPr>
          <w:rFonts w:ascii="Times New Roman" w:hAnsi="Times New Roman" w:cs="Times New Roman"/>
          <w:sz w:val="24"/>
          <w:szCs w:val="24"/>
          <w:lang w:val="ru-RU"/>
        </w:rPr>
        <w:t xml:space="preserve"> 4 лица</w:t>
      </w:r>
      <w:r w:rsidRPr="00A24CF3">
        <w:rPr>
          <w:rFonts w:ascii="Times New Roman" w:hAnsi="Times New Roman" w:cs="Times New Roman"/>
          <w:sz w:val="24"/>
          <w:szCs w:val="24"/>
          <w:lang w:val="bg-BG"/>
        </w:rPr>
        <w:t xml:space="preserve"> са</w:t>
      </w:r>
      <w:r w:rsidRPr="00A24CF3">
        <w:rPr>
          <w:rFonts w:ascii="Times New Roman" w:hAnsi="Times New Roman" w:cs="Times New Roman"/>
          <w:sz w:val="24"/>
          <w:szCs w:val="24"/>
          <w:lang w:val="ru-RU"/>
        </w:rPr>
        <w:t xml:space="preserve"> от</w:t>
      </w:r>
      <w:r w:rsidRPr="00A24CF3">
        <w:rPr>
          <w:rFonts w:ascii="Times New Roman" w:hAnsi="Times New Roman" w:cs="Times New Roman"/>
          <w:sz w:val="24"/>
          <w:szCs w:val="24"/>
          <w:lang w:val="bg-BG"/>
        </w:rPr>
        <w:t xml:space="preserve"> етнически групи</w:t>
      </w:r>
      <w:r w:rsidRPr="00A24CF3">
        <w:rPr>
          <w:rFonts w:ascii="Times New Roman" w:hAnsi="Times New Roman" w:cs="Times New Roman"/>
          <w:sz w:val="24"/>
          <w:szCs w:val="24"/>
          <w:lang w:val="ru-RU"/>
        </w:rPr>
        <w:t>;</w:t>
      </w:r>
    </w:p>
    <w:p w:rsidR="008B2893" w:rsidRPr="007B04E3" w:rsidRDefault="008B2893" w:rsidP="004C1FE0">
      <w:pPr>
        <w:pStyle w:val="ListParagraph"/>
        <w:numPr>
          <w:ilvl w:val="0"/>
          <w:numId w:val="13"/>
        </w:numPr>
        <w:spacing w:line="240" w:lineRule="auto"/>
        <w:jc w:val="both"/>
        <w:rPr>
          <w:rFonts w:ascii="Times New Roman" w:hAnsi="Times New Roman" w:cs="Times New Roman"/>
          <w:sz w:val="24"/>
          <w:szCs w:val="24"/>
          <w:lang w:val="ru-RU"/>
        </w:rPr>
      </w:pPr>
      <w:r w:rsidRPr="00A24CF3">
        <w:rPr>
          <w:rFonts w:ascii="Times New Roman" w:hAnsi="Times New Roman" w:cs="Times New Roman"/>
          <w:sz w:val="24"/>
          <w:szCs w:val="24"/>
          <w:lang w:val="ru-RU"/>
        </w:rPr>
        <w:t>По</w:t>
      </w:r>
      <w:r w:rsidRPr="00A24CF3">
        <w:rPr>
          <w:rFonts w:ascii="Times New Roman" w:hAnsi="Times New Roman" w:cs="Times New Roman"/>
          <w:sz w:val="24"/>
          <w:szCs w:val="24"/>
          <w:lang w:val="bg-BG"/>
        </w:rPr>
        <w:t xml:space="preserve"> програми</w:t>
      </w:r>
      <w:r w:rsidRPr="00A24CF3">
        <w:rPr>
          <w:rFonts w:ascii="Times New Roman" w:hAnsi="Times New Roman" w:cs="Times New Roman"/>
          <w:sz w:val="24"/>
          <w:szCs w:val="24"/>
          <w:lang w:val="ru-RU"/>
        </w:rPr>
        <w:t xml:space="preserve"> и мерки за</w:t>
      </w:r>
      <w:r w:rsidRPr="00A24CF3">
        <w:rPr>
          <w:rFonts w:ascii="Times New Roman" w:hAnsi="Times New Roman" w:cs="Times New Roman"/>
          <w:sz w:val="24"/>
          <w:szCs w:val="24"/>
          <w:lang w:val="bg-BG"/>
        </w:rPr>
        <w:t xml:space="preserve"> заетост са започнали</w:t>
      </w:r>
      <w:r w:rsidRPr="00A24CF3">
        <w:rPr>
          <w:rFonts w:ascii="Times New Roman" w:hAnsi="Times New Roman" w:cs="Times New Roman"/>
          <w:sz w:val="24"/>
          <w:szCs w:val="24"/>
          <w:lang w:val="ru-RU"/>
        </w:rPr>
        <w:t xml:space="preserve"> работа 26 лица.</w:t>
      </w:r>
    </w:p>
    <w:p w:rsidR="007B04E3" w:rsidRDefault="008B2893" w:rsidP="004C1FE0">
      <w:pPr>
        <w:pStyle w:val="ListParagraph"/>
        <w:numPr>
          <w:ilvl w:val="0"/>
          <w:numId w:val="13"/>
        </w:numPr>
        <w:spacing w:line="240" w:lineRule="auto"/>
        <w:jc w:val="both"/>
        <w:rPr>
          <w:rFonts w:ascii="Times New Roman" w:hAnsi="Times New Roman" w:cs="Times New Roman"/>
          <w:sz w:val="24"/>
          <w:szCs w:val="24"/>
          <w:lang w:val="ru-RU"/>
        </w:rPr>
      </w:pPr>
      <w:r w:rsidRPr="008B2893">
        <w:rPr>
          <w:rFonts w:ascii="Times New Roman" w:hAnsi="Times New Roman" w:cs="Times New Roman"/>
          <w:sz w:val="24"/>
          <w:szCs w:val="24"/>
          <w:lang w:val="bg-BG"/>
        </w:rPr>
        <w:t>Средно месечен брой</w:t>
      </w:r>
      <w:r w:rsidRPr="008B2893">
        <w:rPr>
          <w:rFonts w:ascii="Times New Roman" w:hAnsi="Times New Roman" w:cs="Times New Roman"/>
          <w:sz w:val="24"/>
          <w:szCs w:val="24"/>
          <w:lang w:val="ru-RU"/>
        </w:rPr>
        <w:t xml:space="preserve"> на</w:t>
      </w:r>
      <w:r w:rsidRPr="008B2893">
        <w:rPr>
          <w:rFonts w:ascii="Times New Roman" w:hAnsi="Times New Roman" w:cs="Times New Roman"/>
          <w:sz w:val="24"/>
          <w:szCs w:val="24"/>
          <w:lang w:val="bg-BG"/>
        </w:rPr>
        <w:t xml:space="preserve"> продължително безработни</w:t>
      </w:r>
      <w:r w:rsidRPr="008B2893">
        <w:rPr>
          <w:rFonts w:ascii="Times New Roman" w:hAnsi="Times New Roman" w:cs="Times New Roman"/>
          <w:sz w:val="24"/>
          <w:szCs w:val="24"/>
          <w:lang w:val="ru-RU"/>
        </w:rPr>
        <w:t xml:space="preserve"> лица е 131,</w:t>
      </w:r>
      <w:r w:rsidRPr="008B2893">
        <w:rPr>
          <w:rFonts w:ascii="Times New Roman" w:hAnsi="Times New Roman" w:cs="Times New Roman"/>
          <w:sz w:val="24"/>
          <w:szCs w:val="24"/>
          <w:lang w:val="bg-BG"/>
        </w:rPr>
        <w:t xml:space="preserve"> което</w:t>
      </w:r>
      <w:r w:rsidRPr="008B2893">
        <w:rPr>
          <w:rFonts w:ascii="Times New Roman" w:hAnsi="Times New Roman" w:cs="Times New Roman"/>
          <w:sz w:val="24"/>
          <w:szCs w:val="24"/>
          <w:lang w:val="ru-RU"/>
        </w:rPr>
        <w:t xml:space="preserve"> е 43,38 % от</w:t>
      </w:r>
      <w:r w:rsidRPr="008B2893">
        <w:rPr>
          <w:rFonts w:ascii="Times New Roman" w:hAnsi="Times New Roman" w:cs="Times New Roman"/>
          <w:sz w:val="24"/>
          <w:szCs w:val="24"/>
          <w:lang w:val="bg-BG"/>
        </w:rPr>
        <w:t xml:space="preserve"> средно годишния брой регистрирани безработни</w:t>
      </w:r>
      <w:r w:rsidRPr="008B2893">
        <w:rPr>
          <w:rFonts w:ascii="Times New Roman" w:hAnsi="Times New Roman" w:cs="Times New Roman"/>
          <w:sz w:val="24"/>
          <w:szCs w:val="24"/>
          <w:lang w:val="ru-RU"/>
        </w:rPr>
        <w:t xml:space="preserve"> в Община</w:t>
      </w:r>
      <w:r w:rsidRPr="008B2893">
        <w:rPr>
          <w:rFonts w:ascii="Times New Roman" w:hAnsi="Times New Roman" w:cs="Times New Roman"/>
          <w:sz w:val="24"/>
          <w:szCs w:val="24"/>
          <w:lang w:val="bg-BG"/>
        </w:rPr>
        <w:t xml:space="preserve"> Летница</w:t>
      </w:r>
      <w:r w:rsidRPr="008B2893">
        <w:rPr>
          <w:rFonts w:ascii="Times New Roman" w:hAnsi="Times New Roman" w:cs="Times New Roman"/>
          <w:sz w:val="24"/>
          <w:szCs w:val="24"/>
          <w:lang w:val="ru-RU"/>
        </w:rPr>
        <w:t>.</w:t>
      </w:r>
    </w:p>
    <w:p w:rsidR="007B04E3" w:rsidRDefault="008B2893" w:rsidP="007B04E3">
      <w:pPr>
        <w:pStyle w:val="ListParagraph"/>
        <w:spacing w:line="240" w:lineRule="auto"/>
        <w:ind w:left="0"/>
        <w:jc w:val="both"/>
        <w:rPr>
          <w:rFonts w:ascii="Times New Roman" w:hAnsi="Times New Roman" w:cs="Times New Roman"/>
          <w:sz w:val="24"/>
          <w:szCs w:val="24"/>
          <w:lang w:val="ru-RU"/>
        </w:rPr>
      </w:pPr>
      <w:r w:rsidRPr="00A24CF3">
        <w:rPr>
          <w:rFonts w:ascii="Times New Roman" w:hAnsi="Times New Roman" w:cs="Times New Roman"/>
          <w:sz w:val="24"/>
          <w:szCs w:val="24"/>
          <w:lang w:val="bg-BG"/>
        </w:rPr>
        <w:t>През</w:t>
      </w:r>
      <w:r w:rsidRPr="00A24CF3">
        <w:rPr>
          <w:rFonts w:ascii="Times New Roman" w:hAnsi="Times New Roman" w:cs="Times New Roman"/>
          <w:sz w:val="24"/>
          <w:szCs w:val="24"/>
          <w:lang w:val="ru-RU"/>
        </w:rPr>
        <w:t xml:space="preserve"> 201</w:t>
      </w:r>
      <w:r w:rsidRPr="00A24CF3">
        <w:rPr>
          <w:rFonts w:ascii="Times New Roman" w:hAnsi="Times New Roman" w:cs="Times New Roman"/>
          <w:sz w:val="24"/>
          <w:szCs w:val="24"/>
        </w:rPr>
        <w:t>7</w:t>
      </w:r>
      <w:r w:rsidRPr="00A24CF3">
        <w:rPr>
          <w:rFonts w:ascii="Times New Roman" w:hAnsi="Times New Roman" w:cs="Times New Roman"/>
          <w:sz w:val="24"/>
          <w:szCs w:val="24"/>
          <w:lang w:val="ru-RU"/>
        </w:rPr>
        <w:t xml:space="preserve"> г.</w:t>
      </w:r>
      <w:r w:rsidRPr="00A24CF3">
        <w:rPr>
          <w:rFonts w:ascii="Times New Roman" w:hAnsi="Times New Roman" w:cs="Times New Roman"/>
          <w:sz w:val="24"/>
          <w:szCs w:val="24"/>
          <w:lang w:val="bg-BG"/>
        </w:rPr>
        <w:t xml:space="preserve"> общината работи</w:t>
      </w:r>
      <w:r w:rsidRPr="00A24CF3">
        <w:rPr>
          <w:rFonts w:ascii="Times New Roman" w:hAnsi="Times New Roman" w:cs="Times New Roman"/>
          <w:sz w:val="24"/>
          <w:szCs w:val="24"/>
          <w:lang w:val="ru-RU"/>
        </w:rPr>
        <w:t xml:space="preserve"> по</w:t>
      </w:r>
      <w:r w:rsidRPr="00A24CF3">
        <w:rPr>
          <w:rFonts w:ascii="Times New Roman" w:hAnsi="Times New Roman" w:cs="Times New Roman"/>
          <w:sz w:val="24"/>
          <w:szCs w:val="24"/>
          <w:lang w:val="bg-BG"/>
        </w:rPr>
        <w:t xml:space="preserve"> следните програми</w:t>
      </w:r>
      <w:r w:rsidRPr="00A24CF3">
        <w:rPr>
          <w:rFonts w:ascii="Times New Roman" w:hAnsi="Times New Roman" w:cs="Times New Roman"/>
          <w:sz w:val="24"/>
          <w:szCs w:val="24"/>
          <w:lang w:val="ru-RU"/>
        </w:rPr>
        <w:t xml:space="preserve"> и мерки за</w:t>
      </w:r>
      <w:r w:rsidRPr="00A24CF3">
        <w:rPr>
          <w:rFonts w:ascii="Times New Roman" w:hAnsi="Times New Roman" w:cs="Times New Roman"/>
          <w:sz w:val="24"/>
          <w:szCs w:val="24"/>
          <w:lang w:val="bg-BG"/>
        </w:rPr>
        <w:t xml:space="preserve"> заетост</w:t>
      </w:r>
      <w:r w:rsidRPr="00A24CF3">
        <w:rPr>
          <w:rFonts w:ascii="Times New Roman" w:hAnsi="Times New Roman" w:cs="Times New Roman"/>
          <w:sz w:val="24"/>
          <w:szCs w:val="24"/>
          <w:lang w:val="ru-RU"/>
        </w:rPr>
        <w:t xml:space="preserve">: </w:t>
      </w:r>
    </w:p>
    <w:p w:rsidR="007B04E3" w:rsidRPr="00E03162" w:rsidRDefault="008B2893" w:rsidP="004C1FE0">
      <w:pPr>
        <w:pStyle w:val="ListParagraph"/>
        <w:numPr>
          <w:ilvl w:val="0"/>
          <w:numId w:val="14"/>
        </w:numPr>
        <w:spacing w:line="240" w:lineRule="auto"/>
        <w:ind w:left="0" w:firstLine="360"/>
        <w:jc w:val="both"/>
        <w:rPr>
          <w:rFonts w:ascii="Times New Roman" w:hAnsi="Times New Roman" w:cs="Times New Roman"/>
          <w:sz w:val="24"/>
          <w:szCs w:val="24"/>
          <w:lang w:val="bg-BG"/>
        </w:rPr>
      </w:pPr>
      <w:r w:rsidRPr="00E03162">
        <w:rPr>
          <w:rFonts w:ascii="Times New Roman" w:hAnsi="Times New Roman" w:cs="Times New Roman"/>
          <w:sz w:val="24"/>
          <w:szCs w:val="24"/>
          <w:lang w:val="bg-BG"/>
        </w:rPr>
        <w:t>По Регионална програма за заетост през 2017г. са наети 9 лица за срок от 5 месеца, от 01.11.2016 г. – 31.03.2017 г. и 5 лица от 15.05.2017 г.-14.11.2017 г.;</w:t>
      </w:r>
    </w:p>
    <w:p w:rsidR="007B04E3" w:rsidRPr="00E03162" w:rsidRDefault="008B2893" w:rsidP="004C1FE0">
      <w:pPr>
        <w:pStyle w:val="ListParagraph"/>
        <w:numPr>
          <w:ilvl w:val="0"/>
          <w:numId w:val="14"/>
        </w:numPr>
        <w:spacing w:line="240" w:lineRule="auto"/>
        <w:ind w:left="0" w:firstLine="360"/>
        <w:jc w:val="both"/>
        <w:rPr>
          <w:rFonts w:ascii="Times New Roman" w:hAnsi="Times New Roman" w:cs="Times New Roman"/>
          <w:sz w:val="24"/>
          <w:szCs w:val="24"/>
          <w:lang w:val="ru-RU"/>
        </w:rPr>
      </w:pPr>
      <w:r w:rsidRPr="00E03162">
        <w:rPr>
          <w:rFonts w:ascii="Times New Roman" w:hAnsi="Times New Roman" w:cs="Times New Roman"/>
          <w:sz w:val="24"/>
          <w:szCs w:val="24"/>
          <w:lang w:val="bg-BG"/>
        </w:rPr>
        <w:t>Проект</w:t>
      </w:r>
      <w:r w:rsidRPr="00E03162">
        <w:rPr>
          <w:rFonts w:ascii="Times New Roman" w:hAnsi="Times New Roman" w:cs="Times New Roman"/>
          <w:sz w:val="24"/>
          <w:szCs w:val="24"/>
          <w:lang w:val="de-CH"/>
        </w:rPr>
        <w:t xml:space="preserve"> </w:t>
      </w:r>
      <w:r w:rsidRPr="00E03162">
        <w:rPr>
          <w:rFonts w:ascii="Times New Roman" w:hAnsi="Times New Roman" w:cs="Times New Roman"/>
          <w:sz w:val="24"/>
          <w:szCs w:val="24"/>
          <w:lang w:val="bg-BG"/>
        </w:rPr>
        <w:t>„Звено</w:t>
      </w:r>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за</w:t>
      </w:r>
      <w:proofErr w:type="spellEnd"/>
      <w:r w:rsidRPr="00E03162">
        <w:rPr>
          <w:rFonts w:ascii="Times New Roman" w:hAnsi="Times New Roman" w:cs="Times New Roman"/>
          <w:sz w:val="24"/>
          <w:szCs w:val="24"/>
          <w:lang w:val="bg-BG"/>
        </w:rPr>
        <w:t xml:space="preserve"> услуги</w:t>
      </w:r>
      <w:r w:rsidRPr="00E03162">
        <w:rPr>
          <w:rFonts w:ascii="Times New Roman" w:hAnsi="Times New Roman" w:cs="Times New Roman"/>
          <w:sz w:val="24"/>
          <w:szCs w:val="24"/>
          <w:lang w:val="de-CH"/>
        </w:rPr>
        <w:t xml:space="preserve"> в</w:t>
      </w:r>
      <w:r w:rsidRPr="00E03162">
        <w:rPr>
          <w:rFonts w:ascii="Times New Roman" w:hAnsi="Times New Roman" w:cs="Times New Roman"/>
          <w:sz w:val="24"/>
          <w:szCs w:val="24"/>
          <w:lang w:val="bg-BG"/>
        </w:rPr>
        <w:t xml:space="preserve"> дома</w:t>
      </w:r>
      <w:r w:rsidRPr="00E03162">
        <w:rPr>
          <w:rFonts w:ascii="Times New Roman" w:hAnsi="Times New Roman" w:cs="Times New Roman"/>
          <w:sz w:val="24"/>
          <w:szCs w:val="24"/>
          <w:lang w:val="de-CH"/>
        </w:rPr>
        <w:t xml:space="preserve"> –</w:t>
      </w:r>
      <w:r w:rsidRPr="00E03162">
        <w:rPr>
          <w:rFonts w:ascii="Times New Roman" w:hAnsi="Times New Roman" w:cs="Times New Roman"/>
          <w:sz w:val="24"/>
          <w:szCs w:val="24"/>
          <w:lang w:val="bg-BG"/>
        </w:rPr>
        <w:t xml:space="preserve"> грижи</w:t>
      </w:r>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за</w:t>
      </w:r>
      <w:proofErr w:type="spellEnd"/>
      <w:r w:rsidRPr="00E03162">
        <w:rPr>
          <w:rFonts w:ascii="Times New Roman" w:hAnsi="Times New Roman" w:cs="Times New Roman"/>
          <w:sz w:val="24"/>
          <w:szCs w:val="24"/>
          <w:lang w:val="bg-BG"/>
        </w:rPr>
        <w:t xml:space="preserve"> независим</w:t>
      </w:r>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живот</w:t>
      </w:r>
      <w:proofErr w:type="spellEnd"/>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Проекта</w:t>
      </w:r>
      <w:proofErr w:type="spellEnd"/>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се</w:t>
      </w:r>
      <w:proofErr w:type="spellEnd"/>
      <w:r w:rsidRPr="00E03162">
        <w:rPr>
          <w:rFonts w:ascii="Times New Roman" w:hAnsi="Times New Roman" w:cs="Times New Roman"/>
          <w:sz w:val="24"/>
          <w:szCs w:val="24"/>
          <w:lang w:val="bg-BG"/>
        </w:rPr>
        <w:t xml:space="preserve"> осъществява</w:t>
      </w:r>
      <w:r w:rsidRPr="00E03162">
        <w:rPr>
          <w:rFonts w:ascii="Times New Roman" w:hAnsi="Times New Roman" w:cs="Times New Roman"/>
          <w:sz w:val="24"/>
          <w:szCs w:val="24"/>
          <w:lang w:val="de-CH"/>
        </w:rPr>
        <w:t xml:space="preserve"> с</w:t>
      </w:r>
      <w:r w:rsidRPr="00E03162">
        <w:rPr>
          <w:rFonts w:ascii="Times New Roman" w:hAnsi="Times New Roman" w:cs="Times New Roman"/>
          <w:sz w:val="24"/>
          <w:szCs w:val="24"/>
          <w:lang w:val="bg-BG"/>
        </w:rPr>
        <w:t xml:space="preserve"> финансовата</w:t>
      </w:r>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подкрепа</w:t>
      </w:r>
      <w:proofErr w:type="spellEnd"/>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на</w:t>
      </w:r>
      <w:proofErr w:type="spellEnd"/>
      <w:r w:rsidRPr="00E03162">
        <w:rPr>
          <w:rFonts w:ascii="Times New Roman" w:hAnsi="Times New Roman" w:cs="Times New Roman"/>
          <w:sz w:val="24"/>
          <w:szCs w:val="24"/>
          <w:lang w:val="bg-BG"/>
        </w:rPr>
        <w:t xml:space="preserve"> Оперативна програма</w:t>
      </w:r>
      <w:r w:rsidRPr="00E03162">
        <w:rPr>
          <w:rFonts w:ascii="Times New Roman" w:hAnsi="Times New Roman" w:cs="Times New Roman"/>
          <w:sz w:val="24"/>
          <w:szCs w:val="24"/>
          <w:lang w:val="de-CH"/>
        </w:rPr>
        <w:t xml:space="preserve"> </w:t>
      </w:r>
      <w:r w:rsidRPr="00E03162">
        <w:rPr>
          <w:rFonts w:ascii="Times New Roman" w:hAnsi="Times New Roman" w:cs="Times New Roman"/>
          <w:sz w:val="24"/>
          <w:szCs w:val="24"/>
          <w:lang w:val="bg-BG"/>
        </w:rPr>
        <w:t>„Развитие</w:t>
      </w:r>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на</w:t>
      </w:r>
      <w:proofErr w:type="spellEnd"/>
      <w:r w:rsidRPr="00E03162">
        <w:rPr>
          <w:rFonts w:ascii="Times New Roman" w:hAnsi="Times New Roman" w:cs="Times New Roman"/>
          <w:sz w:val="24"/>
          <w:szCs w:val="24"/>
          <w:lang w:val="bg-BG"/>
        </w:rPr>
        <w:t xml:space="preserve"> човешките ресурси</w:t>
      </w:r>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съфинансирана</w:t>
      </w:r>
      <w:proofErr w:type="spellEnd"/>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от</w:t>
      </w:r>
      <w:proofErr w:type="spellEnd"/>
      <w:r w:rsidRPr="00E03162">
        <w:rPr>
          <w:rFonts w:ascii="Times New Roman" w:hAnsi="Times New Roman" w:cs="Times New Roman"/>
          <w:sz w:val="24"/>
          <w:szCs w:val="24"/>
          <w:lang w:val="bg-BG"/>
        </w:rPr>
        <w:t xml:space="preserve"> Европейския съюз чрез Европейския социален фонд</w:t>
      </w:r>
      <w:r w:rsidRPr="00E03162">
        <w:rPr>
          <w:rFonts w:ascii="Times New Roman" w:hAnsi="Times New Roman" w:cs="Times New Roman"/>
          <w:sz w:val="24"/>
          <w:szCs w:val="24"/>
          <w:lang w:val="de-CH"/>
        </w:rPr>
        <w:t>.</w:t>
      </w:r>
      <w:r w:rsidRPr="00E03162">
        <w:rPr>
          <w:rFonts w:ascii="Times New Roman" w:hAnsi="Times New Roman" w:cs="Times New Roman"/>
          <w:sz w:val="24"/>
          <w:szCs w:val="24"/>
          <w:lang w:val="bg-BG"/>
        </w:rPr>
        <w:t xml:space="preserve"> Назначен персонал</w:t>
      </w:r>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по</w:t>
      </w:r>
      <w:proofErr w:type="spellEnd"/>
      <w:r w:rsidRPr="00E03162">
        <w:rPr>
          <w:rFonts w:ascii="Times New Roman" w:hAnsi="Times New Roman" w:cs="Times New Roman"/>
          <w:sz w:val="24"/>
          <w:szCs w:val="24"/>
          <w:lang w:val="de-CH"/>
        </w:rPr>
        <w:t xml:space="preserve"> </w:t>
      </w:r>
      <w:proofErr w:type="spellStart"/>
      <w:r w:rsidRPr="00E03162">
        <w:rPr>
          <w:rFonts w:ascii="Times New Roman" w:hAnsi="Times New Roman" w:cs="Times New Roman"/>
          <w:sz w:val="24"/>
          <w:szCs w:val="24"/>
          <w:lang w:val="de-CH"/>
        </w:rPr>
        <w:t>проекта</w:t>
      </w:r>
      <w:proofErr w:type="spellEnd"/>
      <w:r w:rsidRPr="00E03162">
        <w:rPr>
          <w:rFonts w:ascii="Times New Roman" w:hAnsi="Times New Roman" w:cs="Times New Roman"/>
          <w:sz w:val="24"/>
          <w:szCs w:val="24"/>
          <w:lang w:val="bg-BG"/>
        </w:rPr>
        <w:t xml:space="preserve"> Социален работник</w:t>
      </w:r>
      <w:r w:rsidRPr="00E03162">
        <w:rPr>
          <w:rFonts w:ascii="Times New Roman" w:hAnsi="Times New Roman" w:cs="Times New Roman"/>
          <w:sz w:val="24"/>
          <w:szCs w:val="24"/>
          <w:lang w:val="de-CH"/>
        </w:rPr>
        <w:t xml:space="preserve"> – 1</w:t>
      </w:r>
      <w:r w:rsidRPr="00E03162">
        <w:rPr>
          <w:rFonts w:ascii="Times New Roman" w:hAnsi="Times New Roman" w:cs="Times New Roman"/>
          <w:sz w:val="24"/>
          <w:szCs w:val="24"/>
          <w:lang w:val="bg-BG"/>
        </w:rPr>
        <w:t xml:space="preserve"> </w:t>
      </w:r>
      <w:proofErr w:type="spellStart"/>
      <w:r w:rsidRPr="00E03162">
        <w:rPr>
          <w:rFonts w:ascii="Times New Roman" w:hAnsi="Times New Roman" w:cs="Times New Roman"/>
          <w:sz w:val="24"/>
          <w:szCs w:val="24"/>
          <w:lang w:val="bg-BG"/>
        </w:rPr>
        <w:t>бр</w:t>
      </w:r>
      <w:proofErr w:type="spellEnd"/>
      <w:r w:rsidRPr="00E03162">
        <w:rPr>
          <w:rFonts w:ascii="Times New Roman" w:hAnsi="Times New Roman" w:cs="Times New Roman"/>
          <w:sz w:val="24"/>
          <w:szCs w:val="24"/>
          <w:lang w:val="de-CH"/>
        </w:rPr>
        <w:t>.,</w:t>
      </w:r>
      <w:r w:rsidRPr="00E03162">
        <w:rPr>
          <w:rFonts w:ascii="Times New Roman" w:hAnsi="Times New Roman" w:cs="Times New Roman"/>
          <w:sz w:val="24"/>
          <w:szCs w:val="24"/>
          <w:lang w:val="bg-BG"/>
        </w:rPr>
        <w:t xml:space="preserve"> Технически сътрудник</w:t>
      </w:r>
      <w:r w:rsidRPr="00E03162">
        <w:rPr>
          <w:rFonts w:ascii="Times New Roman" w:hAnsi="Times New Roman" w:cs="Times New Roman"/>
          <w:sz w:val="24"/>
          <w:szCs w:val="24"/>
          <w:lang w:val="de-CH"/>
        </w:rPr>
        <w:t xml:space="preserve"> – 1 </w:t>
      </w:r>
      <w:proofErr w:type="spellStart"/>
      <w:r w:rsidRPr="00E03162">
        <w:rPr>
          <w:rFonts w:ascii="Times New Roman" w:hAnsi="Times New Roman" w:cs="Times New Roman"/>
          <w:sz w:val="24"/>
          <w:szCs w:val="24"/>
          <w:lang w:val="de-CH"/>
        </w:rPr>
        <w:t>бр</w:t>
      </w:r>
      <w:proofErr w:type="spellEnd"/>
      <w:r w:rsidRPr="00E03162">
        <w:rPr>
          <w:rFonts w:ascii="Times New Roman" w:hAnsi="Times New Roman" w:cs="Times New Roman"/>
          <w:sz w:val="24"/>
          <w:szCs w:val="24"/>
          <w:lang w:val="de-CH"/>
        </w:rPr>
        <w:t xml:space="preserve">. </w:t>
      </w:r>
      <w:r w:rsidRPr="00E03162">
        <w:rPr>
          <w:rFonts w:ascii="Times New Roman" w:hAnsi="Times New Roman" w:cs="Times New Roman"/>
          <w:sz w:val="24"/>
          <w:szCs w:val="24"/>
          <w:lang w:val="ru-RU"/>
        </w:rPr>
        <w:t>Социален</w:t>
      </w:r>
      <w:r w:rsidRPr="00E03162">
        <w:rPr>
          <w:rFonts w:ascii="Times New Roman" w:hAnsi="Times New Roman" w:cs="Times New Roman"/>
          <w:sz w:val="24"/>
          <w:szCs w:val="24"/>
          <w:lang w:val="bg-BG"/>
        </w:rPr>
        <w:t xml:space="preserve"> асистент</w:t>
      </w:r>
      <w:r w:rsidRPr="00E03162">
        <w:rPr>
          <w:rFonts w:ascii="Times New Roman" w:hAnsi="Times New Roman" w:cs="Times New Roman"/>
          <w:sz w:val="24"/>
          <w:szCs w:val="24"/>
          <w:lang w:val="ru-RU"/>
        </w:rPr>
        <w:t xml:space="preserve"> – 1 </w:t>
      </w:r>
      <w:proofErr w:type="spellStart"/>
      <w:r w:rsidRPr="00E03162">
        <w:rPr>
          <w:rFonts w:ascii="Times New Roman" w:hAnsi="Times New Roman" w:cs="Times New Roman"/>
          <w:sz w:val="24"/>
          <w:szCs w:val="24"/>
          <w:lang w:val="ru-RU"/>
        </w:rPr>
        <w:t>бр</w:t>
      </w:r>
      <w:proofErr w:type="spellEnd"/>
      <w:r w:rsidRPr="00E03162">
        <w:rPr>
          <w:rFonts w:ascii="Times New Roman" w:hAnsi="Times New Roman" w:cs="Times New Roman"/>
          <w:sz w:val="24"/>
          <w:szCs w:val="24"/>
          <w:lang w:val="ru-RU"/>
        </w:rPr>
        <w:t>.,</w:t>
      </w:r>
      <w:r w:rsidRPr="00E03162">
        <w:rPr>
          <w:rFonts w:ascii="Times New Roman" w:hAnsi="Times New Roman" w:cs="Times New Roman"/>
          <w:sz w:val="24"/>
          <w:szCs w:val="24"/>
          <w:lang w:val="bg-BG"/>
        </w:rPr>
        <w:t xml:space="preserve"> Здравен асистент</w:t>
      </w:r>
      <w:r w:rsidRPr="00E03162">
        <w:rPr>
          <w:rFonts w:ascii="Times New Roman" w:hAnsi="Times New Roman" w:cs="Times New Roman"/>
          <w:sz w:val="24"/>
          <w:szCs w:val="24"/>
          <w:lang w:val="ru-RU"/>
        </w:rPr>
        <w:t xml:space="preserve"> – 1 </w:t>
      </w:r>
      <w:proofErr w:type="spellStart"/>
      <w:r w:rsidRPr="00E03162">
        <w:rPr>
          <w:rFonts w:ascii="Times New Roman" w:hAnsi="Times New Roman" w:cs="Times New Roman"/>
          <w:sz w:val="24"/>
          <w:szCs w:val="24"/>
          <w:lang w:val="ru-RU"/>
        </w:rPr>
        <w:t>бр</w:t>
      </w:r>
      <w:proofErr w:type="spellEnd"/>
      <w:r w:rsidRPr="00E03162">
        <w:rPr>
          <w:rFonts w:ascii="Times New Roman" w:hAnsi="Times New Roman" w:cs="Times New Roman"/>
          <w:sz w:val="24"/>
          <w:szCs w:val="24"/>
          <w:lang w:val="ru-RU"/>
        </w:rPr>
        <w:t>.,</w:t>
      </w:r>
      <w:r w:rsidRPr="00E03162">
        <w:rPr>
          <w:rFonts w:ascii="Times New Roman" w:hAnsi="Times New Roman" w:cs="Times New Roman"/>
          <w:sz w:val="24"/>
          <w:szCs w:val="24"/>
          <w:lang w:val="bg-BG"/>
        </w:rPr>
        <w:t xml:space="preserve"> Лични</w:t>
      </w:r>
      <w:r w:rsidRPr="00E03162">
        <w:rPr>
          <w:rFonts w:ascii="Times New Roman" w:hAnsi="Times New Roman" w:cs="Times New Roman"/>
          <w:sz w:val="24"/>
          <w:szCs w:val="24"/>
          <w:lang w:val="ru-RU"/>
        </w:rPr>
        <w:t xml:space="preserve"> </w:t>
      </w:r>
      <w:proofErr w:type="spellStart"/>
      <w:r w:rsidRPr="00E03162">
        <w:rPr>
          <w:rFonts w:ascii="Times New Roman" w:hAnsi="Times New Roman" w:cs="Times New Roman"/>
          <w:sz w:val="24"/>
          <w:szCs w:val="24"/>
          <w:lang w:val="ru-RU"/>
        </w:rPr>
        <w:t>асистенти</w:t>
      </w:r>
      <w:proofErr w:type="spellEnd"/>
      <w:r w:rsidRPr="00E03162">
        <w:rPr>
          <w:rFonts w:ascii="Times New Roman" w:hAnsi="Times New Roman" w:cs="Times New Roman"/>
          <w:sz w:val="24"/>
          <w:szCs w:val="24"/>
          <w:lang w:val="ru-RU"/>
        </w:rPr>
        <w:t xml:space="preserve"> – 15 </w:t>
      </w:r>
      <w:proofErr w:type="spellStart"/>
      <w:r w:rsidRPr="00E03162">
        <w:rPr>
          <w:rFonts w:ascii="Times New Roman" w:hAnsi="Times New Roman" w:cs="Times New Roman"/>
          <w:sz w:val="24"/>
          <w:szCs w:val="24"/>
          <w:lang w:val="ru-RU"/>
        </w:rPr>
        <w:t>бр</w:t>
      </w:r>
      <w:proofErr w:type="spellEnd"/>
      <w:r w:rsidRPr="00E03162">
        <w:rPr>
          <w:rFonts w:ascii="Times New Roman" w:hAnsi="Times New Roman" w:cs="Times New Roman"/>
          <w:sz w:val="24"/>
          <w:szCs w:val="24"/>
          <w:lang w:val="ru-RU"/>
        </w:rPr>
        <w:t xml:space="preserve">., </w:t>
      </w:r>
      <w:proofErr w:type="spellStart"/>
      <w:r w:rsidRPr="00E03162">
        <w:rPr>
          <w:rFonts w:ascii="Times New Roman" w:hAnsi="Times New Roman" w:cs="Times New Roman"/>
          <w:sz w:val="24"/>
          <w:szCs w:val="24"/>
          <w:lang w:val="ru-RU"/>
        </w:rPr>
        <w:t>Домашни</w:t>
      </w:r>
      <w:proofErr w:type="spellEnd"/>
      <w:r w:rsidRPr="00E03162">
        <w:rPr>
          <w:rFonts w:ascii="Times New Roman" w:hAnsi="Times New Roman" w:cs="Times New Roman"/>
          <w:sz w:val="24"/>
          <w:szCs w:val="24"/>
          <w:lang w:val="ru-RU"/>
        </w:rPr>
        <w:t xml:space="preserve"> </w:t>
      </w:r>
      <w:proofErr w:type="spellStart"/>
      <w:r w:rsidRPr="00E03162">
        <w:rPr>
          <w:rFonts w:ascii="Times New Roman" w:hAnsi="Times New Roman" w:cs="Times New Roman"/>
          <w:sz w:val="24"/>
          <w:szCs w:val="24"/>
          <w:lang w:val="ru-RU"/>
        </w:rPr>
        <w:t>помощници</w:t>
      </w:r>
      <w:proofErr w:type="spellEnd"/>
      <w:r w:rsidRPr="00E03162">
        <w:rPr>
          <w:rFonts w:ascii="Times New Roman" w:hAnsi="Times New Roman" w:cs="Times New Roman"/>
          <w:sz w:val="24"/>
          <w:szCs w:val="24"/>
          <w:lang w:val="ru-RU"/>
        </w:rPr>
        <w:t xml:space="preserve"> – 7 </w:t>
      </w:r>
      <w:proofErr w:type="spellStart"/>
      <w:r w:rsidRPr="00E03162">
        <w:rPr>
          <w:rFonts w:ascii="Times New Roman" w:hAnsi="Times New Roman" w:cs="Times New Roman"/>
          <w:sz w:val="24"/>
          <w:szCs w:val="24"/>
          <w:lang w:val="ru-RU"/>
        </w:rPr>
        <w:t>бр</w:t>
      </w:r>
      <w:proofErr w:type="spellEnd"/>
      <w:r w:rsidRPr="00E03162">
        <w:rPr>
          <w:rFonts w:ascii="Times New Roman" w:hAnsi="Times New Roman" w:cs="Times New Roman"/>
          <w:sz w:val="24"/>
          <w:szCs w:val="24"/>
          <w:lang w:val="ru-RU"/>
        </w:rPr>
        <w:t>. Общ</w:t>
      </w:r>
      <w:r w:rsidRPr="00E03162">
        <w:rPr>
          <w:rFonts w:ascii="Times New Roman" w:hAnsi="Times New Roman" w:cs="Times New Roman"/>
          <w:sz w:val="24"/>
          <w:szCs w:val="24"/>
          <w:lang w:val="bg-BG"/>
        </w:rPr>
        <w:t xml:space="preserve"> брой обслужвани</w:t>
      </w:r>
      <w:r w:rsidRPr="00E03162">
        <w:rPr>
          <w:rFonts w:ascii="Times New Roman" w:hAnsi="Times New Roman" w:cs="Times New Roman"/>
          <w:sz w:val="24"/>
          <w:szCs w:val="24"/>
          <w:lang w:val="ru-RU"/>
        </w:rPr>
        <w:t xml:space="preserve"> лица  за 2017 г.– 65 </w:t>
      </w:r>
      <w:proofErr w:type="spellStart"/>
      <w:r w:rsidRPr="00E03162">
        <w:rPr>
          <w:rFonts w:ascii="Times New Roman" w:hAnsi="Times New Roman" w:cs="Times New Roman"/>
          <w:sz w:val="24"/>
          <w:szCs w:val="24"/>
          <w:lang w:val="ru-RU"/>
        </w:rPr>
        <w:t>бр</w:t>
      </w:r>
      <w:proofErr w:type="spellEnd"/>
      <w:r w:rsidRPr="00E03162">
        <w:rPr>
          <w:rFonts w:ascii="Times New Roman" w:hAnsi="Times New Roman" w:cs="Times New Roman"/>
          <w:sz w:val="24"/>
          <w:szCs w:val="24"/>
          <w:lang w:val="ru-RU"/>
        </w:rPr>
        <w:t xml:space="preserve">.; </w:t>
      </w:r>
    </w:p>
    <w:p w:rsidR="007B04E3" w:rsidRPr="00E03162" w:rsidRDefault="008B2893" w:rsidP="004C1FE0">
      <w:pPr>
        <w:pStyle w:val="ListParagraph"/>
        <w:numPr>
          <w:ilvl w:val="0"/>
          <w:numId w:val="14"/>
        </w:numPr>
        <w:spacing w:line="240" w:lineRule="auto"/>
        <w:ind w:left="0" w:firstLine="360"/>
        <w:jc w:val="both"/>
        <w:rPr>
          <w:rFonts w:ascii="Times New Roman" w:hAnsi="Times New Roman" w:cs="Times New Roman"/>
          <w:sz w:val="24"/>
          <w:szCs w:val="24"/>
          <w:lang w:val="bg-BG"/>
        </w:rPr>
      </w:pPr>
      <w:r w:rsidRPr="00E03162">
        <w:rPr>
          <w:rFonts w:ascii="Times New Roman" w:hAnsi="Times New Roman" w:cs="Times New Roman"/>
          <w:sz w:val="24"/>
          <w:szCs w:val="24"/>
          <w:lang w:val="bg-BG"/>
        </w:rPr>
        <w:t xml:space="preserve">Проект „Обучения и заетост за младите хора“, финансиран от Оперативна програма „Развитие на човешките ресурси“, </w:t>
      </w:r>
      <w:proofErr w:type="spellStart"/>
      <w:r w:rsidRPr="00E03162">
        <w:rPr>
          <w:rFonts w:ascii="Times New Roman" w:hAnsi="Times New Roman" w:cs="Times New Roman"/>
          <w:sz w:val="24"/>
          <w:szCs w:val="24"/>
          <w:lang w:val="bg-BG"/>
        </w:rPr>
        <w:t>съфинансирана</w:t>
      </w:r>
      <w:proofErr w:type="spellEnd"/>
      <w:r w:rsidRPr="00E03162">
        <w:rPr>
          <w:rFonts w:ascii="Times New Roman" w:hAnsi="Times New Roman" w:cs="Times New Roman"/>
          <w:sz w:val="24"/>
          <w:szCs w:val="24"/>
          <w:lang w:val="bg-BG"/>
        </w:rPr>
        <w:t xml:space="preserve"> от Европейския съюз чрез Европейския социален фонд и Инициативата за младежка заетост е изпълнен в периода 19.04.2017 -30.11.2017 г. На Община Летница са предоставени средства от Агенцията по заетостта, средства от бюджета на проекта за всяко насочено и одобрено безработно лице по условията на Проект „Обучения и заетост за младите хора”, наето по трудово правоотношение по Кодекса на труда  за срок до 6 (шест) месеца. Общо за периода са наети 7 лица.</w:t>
      </w:r>
      <w:r w:rsidR="007B04E3" w:rsidRPr="00E03162">
        <w:rPr>
          <w:rFonts w:ascii="Times New Roman" w:hAnsi="Times New Roman" w:cs="Times New Roman"/>
          <w:sz w:val="24"/>
          <w:szCs w:val="24"/>
          <w:lang w:val="bg-BG"/>
        </w:rPr>
        <w:t xml:space="preserve"> </w:t>
      </w:r>
      <w:r w:rsidRPr="00E03162">
        <w:rPr>
          <w:rFonts w:ascii="Times New Roman" w:hAnsi="Times New Roman" w:cs="Times New Roman"/>
          <w:sz w:val="24"/>
          <w:szCs w:val="24"/>
          <w:lang w:val="bg-BG"/>
        </w:rPr>
        <w:t>По Национална програма „Помощ за пенсиониране“ през 2017 г. е наето едно лице за срок от 2 год.</w:t>
      </w:r>
    </w:p>
    <w:p w:rsidR="007B04E3" w:rsidRDefault="008B2893" w:rsidP="007B04E3">
      <w:pPr>
        <w:pStyle w:val="ListParagraph"/>
        <w:spacing w:line="240" w:lineRule="auto"/>
        <w:ind w:left="0"/>
        <w:jc w:val="both"/>
        <w:rPr>
          <w:rFonts w:ascii="Times New Roman" w:hAnsi="Times New Roman" w:cs="Times New Roman"/>
          <w:sz w:val="24"/>
          <w:szCs w:val="24"/>
          <w:lang w:val="bg-BG"/>
        </w:rPr>
      </w:pPr>
      <w:proofErr w:type="spellStart"/>
      <w:r w:rsidRPr="00A24CF3">
        <w:rPr>
          <w:rFonts w:ascii="Times New Roman" w:hAnsi="Times New Roman" w:cs="Times New Roman"/>
          <w:sz w:val="24"/>
          <w:szCs w:val="24"/>
          <w:lang w:val="de-CH"/>
        </w:rPr>
        <w:t>По</w:t>
      </w:r>
      <w:proofErr w:type="spellEnd"/>
      <w:r w:rsidRPr="00A24CF3">
        <w:rPr>
          <w:rFonts w:ascii="Times New Roman" w:hAnsi="Times New Roman" w:cs="Times New Roman"/>
          <w:sz w:val="24"/>
          <w:szCs w:val="24"/>
          <w:lang w:val="bg-BG"/>
        </w:rPr>
        <w:t xml:space="preserve"> данни</w:t>
      </w:r>
      <w:r w:rsidRPr="00A24CF3">
        <w:rPr>
          <w:rFonts w:ascii="Times New Roman" w:hAnsi="Times New Roman" w:cs="Times New Roman"/>
          <w:sz w:val="24"/>
          <w:szCs w:val="24"/>
          <w:lang w:val="de-CH"/>
        </w:rPr>
        <w:t xml:space="preserve"> </w:t>
      </w:r>
      <w:proofErr w:type="spellStart"/>
      <w:r w:rsidRPr="00A24CF3">
        <w:rPr>
          <w:rFonts w:ascii="Times New Roman" w:hAnsi="Times New Roman" w:cs="Times New Roman"/>
          <w:sz w:val="24"/>
          <w:szCs w:val="24"/>
          <w:lang w:val="de-CH"/>
        </w:rPr>
        <w:t>от</w:t>
      </w:r>
      <w:proofErr w:type="spellEnd"/>
      <w:r w:rsidRPr="00A24CF3">
        <w:rPr>
          <w:rFonts w:ascii="Times New Roman" w:hAnsi="Times New Roman" w:cs="Times New Roman"/>
          <w:sz w:val="24"/>
          <w:szCs w:val="24"/>
          <w:lang w:val="bg-BG"/>
        </w:rPr>
        <w:t xml:space="preserve"> Дирекция</w:t>
      </w:r>
      <w:r w:rsidRPr="00A24CF3">
        <w:rPr>
          <w:rFonts w:ascii="Times New Roman" w:hAnsi="Times New Roman" w:cs="Times New Roman"/>
          <w:sz w:val="24"/>
          <w:szCs w:val="24"/>
          <w:lang w:val="de-CH"/>
        </w:rPr>
        <w:t xml:space="preserve"> </w:t>
      </w:r>
      <w:r w:rsidRPr="00A24CF3">
        <w:rPr>
          <w:rFonts w:ascii="Times New Roman" w:hAnsi="Times New Roman" w:cs="Times New Roman"/>
          <w:sz w:val="24"/>
          <w:szCs w:val="24"/>
          <w:lang w:val="bg-BG"/>
        </w:rPr>
        <w:t>„Социално подпомагане</w:t>
      </w:r>
      <w:r w:rsidRPr="00A24CF3">
        <w:rPr>
          <w:rFonts w:ascii="Times New Roman" w:hAnsi="Times New Roman" w:cs="Times New Roman"/>
          <w:sz w:val="24"/>
          <w:szCs w:val="24"/>
          <w:lang w:val="de-CH"/>
        </w:rPr>
        <w:t>“</w:t>
      </w:r>
      <w:r w:rsidRPr="00A24CF3">
        <w:rPr>
          <w:rFonts w:ascii="Times New Roman" w:hAnsi="Times New Roman" w:cs="Times New Roman"/>
          <w:sz w:val="24"/>
          <w:szCs w:val="24"/>
          <w:lang w:val="bg-BG"/>
        </w:rPr>
        <w:t xml:space="preserve"> гр. Ловеч през</w:t>
      </w:r>
      <w:r w:rsidRPr="00A24CF3">
        <w:rPr>
          <w:rFonts w:ascii="Times New Roman" w:hAnsi="Times New Roman" w:cs="Times New Roman"/>
          <w:sz w:val="24"/>
          <w:szCs w:val="24"/>
          <w:lang w:val="de-CH"/>
        </w:rPr>
        <w:t xml:space="preserve"> 2017</w:t>
      </w:r>
      <w:r w:rsidRPr="00A24CF3">
        <w:rPr>
          <w:rFonts w:ascii="Times New Roman" w:hAnsi="Times New Roman" w:cs="Times New Roman"/>
          <w:sz w:val="24"/>
          <w:szCs w:val="24"/>
          <w:lang w:val="bg-BG"/>
        </w:rPr>
        <w:t xml:space="preserve"> година</w:t>
      </w:r>
      <w:r w:rsidRPr="00A24CF3">
        <w:rPr>
          <w:rFonts w:ascii="Times New Roman" w:hAnsi="Times New Roman" w:cs="Times New Roman"/>
          <w:sz w:val="24"/>
          <w:szCs w:val="24"/>
          <w:lang w:val="de-CH"/>
        </w:rPr>
        <w:t xml:space="preserve"> </w:t>
      </w:r>
      <w:r w:rsidRPr="00A24CF3">
        <w:rPr>
          <w:rFonts w:ascii="Times New Roman" w:hAnsi="Times New Roman" w:cs="Times New Roman"/>
          <w:sz w:val="24"/>
          <w:szCs w:val="24"/>
          <w:lang w:val="bg-BG"/>
        </w:rPr>
        <w:t>са подпомагани лица, както следва:</w:t>
      </w:r>
    </w:p>
    <w:p w:rsidR="007B04E3" w:rsidRDefault="008B2893" w:rsidP="004C1FE0">
      <w:pPr>
        <w:pStyle w:val="ListParagraph"/>
        <w:numPr>
          <w:ilvl w:val="0"/>
          <w:numId w:val="14"/>
        </w:numPr>
        <w:spacing w:line="240" w:lineRule="auto"/>
        <w:ind w:left="0" w:firstLine="360"/>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 xml:space="preserve">53 лица </w:t>
      </w:r>
      <w:r w:rsidRPr="00A24CF3">
        <w:rPr>
          <w:rFonts w:ascii="Times New Roman" w:hAnsi="Times New Roman" w:cs="Times New Roman"/>
          <w:sz w:val="24"/>
          <w:szCs w:val="24"/>
          <w:lang w:val="de-CH"/>
        </w:rPr>
        <w:t>с</w:t>
      </w:r>
      <w:r w:rsidRPr="00A24CF3">
        <w:rPr>
          <w:rFonts w:ascii="Times New Roman" w:hAnsi="Times New Roman" w:cs="Times New Roman"/>
          <w:sz w:val="24"/>
          <w:szCs w:val="24"/>
          <w:lang w:val="bg-BG"/>
        </w:rPr>
        <w:t xml:space="preserve"> месечни помощи по</w:t>
      </w:r>
      <w:r w:rsidRPr="00A24CF3">
        <w:rPr>
          <w:rFonts w:ascii="Times New Roman" w:hAnsi="Times New Roman" w:cs="Times New Roman"/>
          <w:sz w:val="24"/>
          <w:szCs w:val="24"/>
          <w:lang w:val="de-CH"/>
        </w:rPr>
        <w:t xml:space="preserve"> чл.9</w:t>
      </w:r>
      <w:r w:rsidRPr="00A24CF3">
        <w:rPr>
          <w:rFonts w:ascii="Times New Roman" w:hAnsi="Times New Roman" w:cs="Times New Roman"/>
          <w:sz w:val="24"/>
          <w:szCs w:val="24"/>
          <w:lang w:val="bg-BG"/>
        </w:rPr>
        <w:t xml:space="preserve"> от Правилника за прилагане на Закона за социалното подпомагане</w:t>
      </w:r>
      <w:r w:rsidRPr="00A24CF3">
        <w:rPr>
          <w:rFonts w:ascii="Times New Roman" w:hAnsi="Times New Roman" w:cs="Times New Roman"/>
          <w:sz w:val="24"/>
          <w:szCs w:val="24"/>
          <w:lang w:val="de-CH"/>
        </w:rPr>
        <w:t xml:space="preserve">, </w:t>
      </w:r>
    </w:p>
    <w:p w:rsidR="007B04E3" w:rsidRDefault="008B2893" w:rsidP="004C1FE0">
      <w:pPr>
        <w:pStyle w:val="ListParagraph"/>
        <w:numPr>
          <w:ilvl w:val="0"/>
          <w:numId w:val="14"/>
        </w:numPr>
        <w:spacing w:line="240" w:lineRule="auto"/>
        <w:ind w:left="0" w:firstLine="360"/>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269 лица</w:t>
      </w:r>
      <w:r w:rsidRPr="00A24CF3">
        <w:rPr>
          <w:rFonts w:ascii="Times New Roman" w:hAnsi="Times New Roman" w:cs="Times New Roman"/>
          <w:sz w:val="24"/>
          <w:szCs w:val="24"/>
          <w:lang w:val="de-CH"/>
        </w:rPr>
        <w:t xml:space="preserve"> с</w:t>
      </w:r>
      <w:r w:rsidRPr="00A24CF3">
        <w:rPr>
          <w:rFonts w:ascii="Times New Roman" w:hAnsi="Times New Roman" w:cs="Times New Roman"/>
          <w:sz w:val="24"/>
          <w:szCs w:val="24"/>
          <w:lang w:val="bg-BG"/>
        </w:rPr>
        <w:t xml:space="preserve"> трайни увреждания са подпомагани</w:t>
      </w:r>
      <w:r w:rsidRPr="00A24CF3">
        <w:rPr>
          <w:rFonts w:ascii="Times New Roman" w:hAnsi="Times New Roman" w:cs="Times New Roman"/>
          <w:sz w:val="24"/>
          <w:szCs w:val="24"/>
          <w:lang w:val="de-CH"/>
        </w:rPr>
        <w:t xml:space="preserve"> с</w:t>
      </w:r>
      <w:r w:rsidRPr="00A24CF3">
        <w:rPr>
          <w:rFonts w:ascii="Times New Roman" w:hAnsi="Times New Roman" w:cs="Times New Roman"/>
          <w:sz w:val="24"/>
          <w:szCs w:val="24"/>
          <w:lang w:val="bg-BG"/>
        </w:rPr>
        <w:t xml:space="preserve"> месечни добавки за социална интеграция по Правилника за прилагане на Закона за интеграция на хората</w:t>
      </w:r>
      <w:r w:rsidRPr="00A24CF3">
        <w:rPr>
          <w:rFonts w:ascii="Times New Roman" w:hAnsi="Times New Roman" w:cs="Times New Roman"/>
          <w:sz w:val="24"/>
          <w:szCs w:val="24"/>
          <w:lang w:val="de-CH"/>
        </w:rPr>
        <w:t xml:space="preserve"> с</w:t>
      </w:r>
      <w:r w:rsidRPr="00A24CF3">
        <w:rPr>
          <w:rFonts w:ascii="Times New Roman" w:hAnsi="Times New Roman" w:cs="Times New Roman"/>
          <w:sz w:val="24"/>
          <w:szCs w:val="24"/>
          <w:lang w:val="bg-BG"/>
        </w:rPr>
        <w:t xml:space="preserve"> увреждания, </w:t>
      </w:r>
    </w:p>
    <w:p w:rsidR="008B2893" w:rsidRPr="007B04E3" w:rsidRDefault="008B2893" w:rsidP="004C1FE0">
      <w:pPr>
        <w:pStyle w:val="ListParagraph"/>
        <w:numPr>
          <w:ilvl w:val="0"/>
          <w:numId w:val="14"/>
        </w:numPr>
        <w:spacing w:line="240" w:lineRule="auto"/>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231 лица с целева помощ за отопление по Наредба № РД07-5 от 16.05.2008 г</w:t>
      </w:r>
      <w:r w:rsidRPr="00A24CF3">
        <w:rPr>
          <w:rFonts w:ascii="Times New Roman" w:hAnsi="Times New Roman" w:cs="Times New Roman"/>
          <w:sz w:val="24"/>
          <w:szCs w:val="24"/>
          <w:lang w:val="de-CH"/>
        </w:rPr>
        <w:t>.</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На територията на общината няма незаконосъобразни постройки/жилища.</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В Община Летница има одобрена кадастрална карта за цялото землище на общината.</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Със средства осигурени от общинския бюджет е изградена многофункционална площадка за игра на открито за деца от 3-12 години в центъра на гр. Летница.  Детската площадка осигурява условия важни за правилното когнитивно, емоционално, физическо и социално развитие на децата.  Деца на възраст от 3-12 г. могат да прекарат часове в люлеене, катерене, тичане и какви ли не други разнообразни игри в това незаменимо пространства от заобикалящата ни среда. Освен безопасността при игра,  детската площадка предлага на децата   интересни и забавни съоръжения за игра.</w:t>
      </w:r>
    </w:p>
    <w:p w:rsidR="008B2893" w:rsidRPr="007B04E3" w:rsidRDefault="008B2893" w:rsidP="007B04E3">
      <w:pPr>
        <w:pStyle w:val="ListParagraph"/>
        <w:spacing w:line="240" w:lineRule="auto"/>
        <w:ind w:left="0"/>
        <w:jc w:val="both"/>
        <w:rPr>
          <w:rFonts w:ascii="Times New Roman" w:hAnsi="Times New Roman" w:cs="Times New Roman"/>
          <w:sz w:val="24"/>
          <w:szCs w:val="24"/>
        </w:rPr>
      </w:pPr>
      <w:r w:rsidRPr="008B2893">
        <w:rPr>
          <w:rFonts w:ascii="Times New Roman" w:hAnsi="Times New Roman" w:cs="Times New Roman"/>
          <w:sz w:val="24"/>
          <w:szCs w:val="24"/>
          <w:lang w:val="bg-BG"/>
        </w:rPr>
        <w:t>На 19.07.2016 г. е подписан Договор за безвъзмездна финансова помощ с Агенция за социално подпомагане, финансиран от Оперативна програма за храни и/или основно материално подпомагане от Фонд за европейско подпомагане на най-нуждаещите се лица, за предоставяне на помощ под форма на топъл обяд и предоставяне на съпътстващи мерки на 50 бр. лица от целевите групи. Предоставянето на топлия обяд започва на 01.08.2016 г. и е със срок до 30.04.2017 г. През 2017 г. е подписан анекс към договора, като срока на договора  е удължен от 01.10.2017-31.12.2019 г.</w:t>
      </w:r>
      <w:r w:rsidR="007B04E3">
        <w:rPr>
          <w:rFonts w:ascii="Times New Roman" w:hAnsi="Times New Roman" w:cs="Times New Roman"/>
          <w:sz w:val="24"/>
          <w:szCs w:val="24"/>
          <w:lang w:val="bg-BG"/>
        </w:rPr>
        <w:t xml:space="preserve"> </w:t>
      </w:r>
      <w:r w:rsidRPr="00A24CF3">
        <w:rPr>
          <w:rFonts w:ascii="Times New Roman" w:hAnsi="Times New Roman" w:cs="Times New Roman"/>
          <w:sz w:val="24"/>
          <w:szCs w:val="24"/>
        </w:rPr>
        <w:t>С</w:t>
      </w:r>
      <w:r w:rsidRPr="00A24CF3">
        <w:rPr>
          <w:rFonts w:ascii="Times New Roman" w:hAnsi="Times New Roman" w:cs="Times New Roman"/>
          <w:sz w:val="24"/>
          <w:szCs w:val="24"/>
          <w:lang w:val="bg-BG"/>
        </w:rPr>
        <w:t xml:space="preserve"> финансовата подкрепа на</w:t>
      </w:r>
      <w:r w:rsidRPr="00A24CF3">
        <w:rPr>
          <w:rFonts w:ascii="Times New Roman" w:hAnsi="Times New Roman" w:cs="Times New Roman"/>
          <w:sz w:val="24"/>
          <w:szCs w:val="24"/>
        </w:rPr>
        <w:t xml:space="preserve"> МОСВ, ПУДООС,</w:t>
      </w:r>
      <w:r w:rsidRPr="00A24CF3">
        <w:rPr>
          <w:rFonts w:ascii="Times New Roman" w:hAnsi="Times New Roman" w:cs="Times New Roman"/>
          <w:sz w:val="24"/>
          <w:szCs w:val="24"/>
          <w:lang w:val="bg-BG"/>
        </w:rPr>
        <w:t xml:space="preserve"> по Националната кампания</w:t>
      </w:r>
      <w:r w:rsidRPr="00A24CF3">
        <w:rPr>
          <w:rFonts w:ascii="Times New Roman" w:hAnsi="Times New Roman" w:cs="Times New Roman"/>
          <w:sz w:val="24"/>
          <w:szCs w:val="24"/>
        </w:rPr>
        <w:t xml:space="preserve"> </w:t>
      </w:r>
      <w:r w:rsidRPr="00A24CF3">
        <w:rPr>
          <w:rFonts w:ascii="Times New Roman" w:hAnsi="Times New Roman" w:cs="Times New Roman"/>
          <w:sz w:val="24"/>
          <w:szCs w:val="24"/>
          <w:lang w:val="bg-BG"/>
        </w:rPr>
        <w:t>"За чиста околна среда</w:t>
      </w:r>
      <w:r w:rsidRPr="00A24CF3">
        <w:rPr>
          <w:rFonts w:ascii="Times New Roman" w:hAnsi="Times New Roman" w:cs="Times New Roman"/>
          <w:sz w:val="24"/>
          <w:szCs w:val="24"/>
        </w:rPr>
        <w:t xml:space="preserve"> - 2017", </w:t>
      </w:r>
      <w:r w:rsidRPr="00A24CF3">
        <w:rPr>
          <w:rFonts w:ascii="Times New Roman" w:hAnsi="Times New Roman" w:cs="Times New Roman"/>
          <w:sz w:val="24"/>
          <w:szCs w:val="24"/>
          <w:lang w:val="bg-BG"/>
        </w:rPr>
        <w:t>"Обичам природата</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аз участвам</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Община Летница реализира Проект</w:t>
      </w:r>
      <w:r w:rsidRPr="00A24CF3">
        <w:rPr>
          <w:rFonts w:ascii="Times New Roman" w:hAnsi="Times New Roman" w:cs="Times New Roman"/>
          <w:sz w:val="24"/>
          <w:szCs w:val="24"/>
        </w:rPr>
        <w:t xml:space="preserve">: </w:t>
      </w:r>
      <w:r w:rsidRPr="00A24CF3">
        <w:rPr>
          <w:rFonts w:ascii="Times New Roman" w:hAnsi="Times New Roman" w:cs="Times New Roman"/>
          <w:sz w:val="24"/>
          <w:szCs w:val="24"/>
          <w:lang w:val="bg-BG"/>
        </w:rPr>
        <w:t>"Почистване</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озеленяване</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изграждане на зона за отдих</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спорт</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забавление</w:t>
      </w:r>
      <w:r w:rsidRPr="00A24CF3">
        <w:rPr>
          <w:rFonts w:ascii="Times New Roman" w:hAnsi="Times New Roman" w:cs="Times New Roman"/>
          <w:sz w:val="24"/>
          <w:szCs w:val="24"/>
        </w:rPr>
        <w:t xml:space="preserve"> в</w:t>
      </w:r>
      <w:r w:rsidRPr="00A24CF3">
        <w:rPr>
          <w:rFonts w:ascii="Times New Roman" w:hAnsi="Times New Roman" w:cs="Times New Roman"/>
          <w:sz w:val="24"/>
          <w:szCs w:val="24"/>
          <w:lang w:val="bg-BG"/>
        </w:rPr>
        <w:t xml:space="preserve"> град Летница</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Основната цел на проекта</w:t>
      </w:r>
      <w:r w:rsidRPr="00A24CF3">
        <w:rPr>
          <w:rFonts w:ascii="Times New Roman" w:hAnsi="Times New Roman" w:cs="Times New Roman"/>
          <w:sz w:val="24"/>
          <w:szCs w:val="24"/>
        </w:rPr>
        <w:t xml:space="preserve"> е</w:t>
      </w:r>
      <w:r w:rsidRPr="00A24CF3">
        <w:rPr>
          <w:rFonts w:ascii="Times New Roman" w:hAnsi="Times New Roman" w:cs="Times New Roman"/>
          <w:sz w:val="24"/>
          <w:szCs w:val="24"/>
          <w:lang w:val="bg-BG"/>
        </w:rPr>
        <w:t xml:space="preserve"> създаване на зона за отдих</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развлечения</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повишаване качеството на градската среда</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комфорта на обитаване</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съобразено</w:t>
      </w:r>
      <w:r w:rsidRPr="00A24CF3">
        <w:rPr>
          <w:rFonts w:ascii="Times New Roman" w:hAnsi="Times New Roman" w:cs="Times New Roman"/>
          <w:sz w:val="24"/>
          <w:szCs w:val="24"/>
        </w:rPr>
        <w:t xml:space="preserve"> с</w:t>
      </w:r>
      <w:r w:rsidRPr="00A24CF3">
        <w:rPr>
          <w:rFonts w:ascii="Times New Roman" w:hAnsi="Times New Roman" w:cs="Times New Roman"/>
          <w:sz w:val="24"/>
          <w:szCs w:val="24"/>
          <w:lang w:val="bg-BG"/>
        </w:rPr>
        <w:t xml:space="preserve"> нуждите на жителите</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гостите на града</w:t>
      </w:r>
      <w:r w:rsidRPr="00A24CF3">
        <w:rPr>
          <w:rFonts w:ascii="Times New Roman" w:hAnsi="Times New Roman" w:cs="Times New Roman"/>
          <w:sz w:val="24"/>
          <w:szCs w:val="24"/>
        </w:rPr>
        <w:t xml:space="preserve">. </w:t>
      </w:r>
      <w:proofErr w:type="gramStart"/>
      <w:r w:rsidRPr="00A24CF3">
        <w:rPr>
          <w:rFonts w:ascii="Times New Roman" w:hAnsi="Times New Roman" w:cs="Times New Roman"/>
          <w:sz w:val="24"/>
          <w:szCs w:val="24"/>
        </w:rPr>
        <w:t>С</w:t>
      </w:r>
      <w:r w:rsidRPr="00A24CF3">
        <w:rPr>
          <w:rFonts w:ascii="Times New Roman" w:hAnsi="Times New Roman" w:cs="Times New Roman"/>
          <w:sz w:val="24"/>
          <w:szCs w:val="24"/>
          <w:lang w:val="bg-BG"/>
        </w:rPr>
        <w:t xml:space="preserve"> реализирането на проекта беше извършено почистване</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подравняване</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затревяване</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оформяне на площадки</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монтаж на беседка</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детски</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спортни съоръжения</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пейки</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кошчета</w:t>
      </w:r>
      <w:r w:rsidRPr="00A24CF3">
        <w:rPr>
          <w:rFonts w:ascii="Times New Roman" w:hAnsi="Times New Roman" w:cs="Times New Roman"/>
          <w:sz w:val="24"/>
          <w:szCs w:val="24"/>
        </w:rPr>
        <w:t>.</w:t>
      </w:r>
      <w:proofErr w:type="gramEnd"/>
      <w:r w:rsidR="007B04E3">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Социалните услуги в общината се определят като дейности, които подпомагат и разширяват възможностите на лицата да водят самостоятелен начин на живот, насочени към подкрепа на подпомаганите лица за осъществяване на ежедневните им дейности и постигане на социално включване. Те се предоставят съобразно желанието и личния избор на лицата, които се нуждаят от тях. В Община Летница  през 201</w:t>
      </w:r>
      <w:r w:rsidRPr="00A24CF3">
        <w:rPr>
          <w:rFonts w:ascii="Times New Roman" w:hAnsi="Times New Roman" w:cs="Times New Roman"/>
          <w:sz w:val="24"/>
          <w:szCs w:val="24"/>
        </w:rPr>
        <w:t>7</w:t>
      </w:r>
      <w:r w:rsidRPr="00A24CF3">
        <w:rPr>
          <w:rFonts w:ascii="Times New Roman" w:hAnsi="Times New Roman" w:cs="Times New Roman"/>
          <w:sz w:val="24"/>
          <w:szCs w:val="24"/>
          <w:lang w:val="bg-BG"/>
        </w:rPr>
        <w:t xml:space="preserve"> г.се предоставят следните социални услуги: </w:t>
      </w:r>
    </w:p>
    <w:p w:rsidR="008B2893" w:rsidRPr="008B2893" w:rsidRDefault="008B2893" w:rsidP="004C1FE0">
      <w:pPr>
        <w:pStyle w:val="ListParagraph"/>
        <w:numPr>
          <w:ilvl w:val="0"/>
          <w:numId w:val="2"/>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Социални услуги в домашна среда: личен асистент; социален асистент; домашен помощник; домашен социален патронаж;</w:t>
      </w:r>
    </w:p>
    <w:p w:rsidR="008B2893" w:rsidRPr="008B2893" w:rsidRDefault="008B2893" w:rsidP="004C1FE0">
      <w:pPr>
        <w:pStyle w:val="ListParagraph"/>
        <w:numPr>
          <w:ilvl w:val="0"/>
          <w:numId w:val="2"/>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Дневен център за възрастни хора с увреждания;</w:t>
      </w:r>
    </w:p>
    <w:p w:rsidR="008B2893" w:rsidRPr="008B2893" w:rsidRDefault="008B2893" w:rsidP="004C1FE0">
      <w:pPr>
        <w:pStyle w:val="ListParagraph"/>
        <w:numPr>
          <w:ilvl w:val="0"/>
          <w:numId w:val="2"/>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Център за социална рехабилитация и интеграция;</w:t>
      </w:r>
    </w:p>
    <w:p w:rsidR="008B2893" w:rsidRPr="008B2893" w:rsidRDefault="008B2893" w:rsidP="004C1FE0">
      <w:pPr>
        <w:pStyle w:val="ListParagraph"/>
        <w:numPr>
          <w:ilvl w:val="0"/>
          <w:numId w:val="2"/>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 xml:space="preserve">Социална услуга от </w:t>
      </w:r>
      <w:proofErr w:type="spellStart"/>
      <w:r w:rsidRPr="008B2893">
        <w:rPr>
          <w:rFonts w:ascii="Times New Roman" w:hAnsi="Times New Roman" w:cs="Times New Roman"/>
          <w:sz w:val="24"/>
          <w:szCs w:val="24"/>
          <w:lang w:val="bg-BG"/>
        </w:rPr>
        <w:t>резидентен</w:t>
      </w:r>
      <w:proofErr w:type="spellEnd"/>
      <w:r w:rsidRPr="008B2893">
        <w:rPr>
          <w:rFonts w:ascii="Times New Roman" w:hAnsi="Times New Roman" w:cs="Times New Roman"/>
          <w:sz w:val="24"/>
          <w:szCs w:val="24"/>
          <w:lang w:val="bg-BG"/>
        </w:rPr>
        <w:t xml:space="preserve"> тип: Център за настаняване от семеен тип;</w:t>
      </w:r>
    </w:p>
    <w:p w:rsidR="008B2893" w:rsidRPr="008B2893" w:rsidRDefault="008B2893" w:rsidP="004C1FE0">
      <w:pPr>
        <w:pStyle w:val="ListParagraph"/>
        <w:numPr>
          <w:ilvl w:val="0"/>
          <w:numId w:val="2"/>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 xml:space="preserve">Обществена трапезария. </w:t>
      </w:r>
    </w:p>
    <w:p w:rsidR="008B2893" w:rsidRPr="007B04E3" w:rsidRDefault="008B2893" w:rsidP="007B04E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 xml:space="preserve">На 30.11.2017 г. завърши изпълнението на Проект „Звено за услуги в дома – грижи за независим живот“. Проекта е осъществен с финансовата подкрепа на Оперативна програма „Развитие на човешките ресурси“, </w:t>
      </w:r>
      <w:proofErr w:type="spellStart"/>
      <w:r w:rsidRPr="00A24CF3">
        <w:rPr>
          <w:rFonts w:ascii="Times New Roman" w:hAnsi="Times New Roman" w:cs="Times New Roman"/>
          <w:sz w:val="24"/>
          <w:szCs w:val="24"/>
          <w:lang w:val="bg-BG"/>
        </w:rPr>
        <w:t>съфинансирана</w:t>
      </w:r>
      <w:proofErr w:type="spellEnd"/>
      <w:r w:rsidRPr="00A24CF3">
        <w:rPr>
          <w:rFonts w:ascii="Times New Roman" w:hAnsi="Times New Roman" w:cs="Times New Roman"/>
          <w:sz w:val="24"/>
          <w:szCs w:val="24"/>
          <w:lang w:val="bg-BG"/>
        </w:rPr>
        <w:t xml:space="preserve"> от Европейския съюз </w:t>
      </w:r>
      <w:r w:rsidR="007B04E3">
        <w:rPr>
          <w:rFonts w:ascii="Times New Roman" w:hAnsi="Times New Roman" w:cs="Times New Roman"/>
          <w:sz w:val="24"/>
          <w:szCs w:val="24"/>
          <w:lang w:val="bg-BG"/>
        </w:rPr>
        <w:t xml:space="preserve">чрез Европейския социален фонд. </w:t>
      </w:r>
      <w:r w:rsidRPr="008B2893">
        <w:rPr>
          <w:rFonts w:ascii="Times New Roman" w:hAnsi="Times New Roman" w:cs="Times New Roman"/>
          <w:sz w:val="24"/>
          <w:szCs w:val="24"/>
          <w:lang w:val="bg-BG"/>
        </w:rPr>
        <w:t xml:space="preserve">Проекта допълва и </w:t>
      </w:r>
      <w:proofErr w:type="spellStart"/>
      <w:r w:rsidRPr="008B2893">
        <w:rPr>
          <w:rFonts w:ascii="Times New Roman" w:hAnsi="Times New Roman" w:cs="Times New Roman"/>
          <w:sz w:val="24"/>
          <w:szCs w:val="24"/>
          <w:lang w:val="bg-BG"/>
        </w:rPr>
        <w:t>надгражда</w:t>
      </w:r>
      <w:proofErr w:type="spellEnd"/>
      <w:r w:rsidRPr="008B2893">
        <w:rPr>
          <w:rFonts w:ascii="Times New Roman" w:hAnsi="Times New Roman" w:cs="Times New Roman"/>
          <w:sz w:val="24"/>
          <w:szCs w:val="24"/>
          <w:lang w:val="bg-BG"/>
        </w:rPr>
        <w:t xml:space="preserve"> създаденото Звено за услуги в дома по операция „Помощ в дома“, финансирана от Оперативна програма „Развитие на човешките ресурси“ 2007-2013 г. , както и процедура „Нови алтернативи“, финансирана по Оперативна програма „Развитие на човешките ресурси“ 2014-2020 г., чрез прилагане на широкоспектърен подход за предоставяне на почасови услуги за хора с увреждания и възрастни хора със затруднения в самообслужването. </w:t>
      </w:r>
      <w:r w:rsidR="007B04E3">
        <w:rPr>
          <w:rFonts w:ascii="Times New Roman" w:hAnsi="Times New Roman" w:cs="Times New Roman"/>
          <w:sz w:val="24"/>
          <w:szCs w:val="24"/>
          <w:lang w:val="bg-BG"/>
        </w:rPr>
        <w:t xml:space="preserve"> </w:t>
      </w:r>
      <w:r w:rsidRPr="008B2893">
        <w:rPr>
          <w:rFonts w:ascii="Times New Roman" w:hAnsi="Times New Roman" w:cs="Times New Roman"/>
          <w:sz w:val="24"/>
          <w:szCs w:val="24"/>
          <w:lang w:val="bg-BG"/>
        </w:rPr>
        <w:t>Почасовите услуги в домашна среда имат за цел да осигурят независимост, социална интеграция и по-високо качество на живот на потребителите на услугите и включват: лична помощ в самообслужването, подкрепа за социално включване, комунално-битови услуги, здравни услуги, транспортни услуги, мотивационна и психологическа подкрепа.</w:t>
      </w:r>
      <w:r w:rsidR="007B04E3">
        <w:rPr>
          <w:rFonts w:ascii="Times New Roman" w:hAnsi="Times New Roman" w:cs="Times New Roman"/>
          <w:sz w:val="24"/>
          <w:szCs w:val="24"/>
          <w:lang w:val="bg-BG"/>
        </w:rPr>
        <w:t xml:space="preserve"> </w:t>
      </w:r>
      <w:r w:rsidRPr="008B2893">
        <w:rPr>
          <w:rFonts w:ascii="Times New Roman" w:hAnsi="Times New Roman" w:cs="Times New Roman"/>
          <w:sz w:val="24"/>
          <w:szCs w:val="24"/>
          <w:lang w:val="bg-BG"/>
        </w:rPr>
        <w:t xml:space="preserve">Дейностите продължават и след приключване изпълнението на проекта. За месец декември са предоставени средства от държавния бюджет по Постановление №137/05.07.2017 г. Социалната услуга ще се предоставя и  през цялата 2018 г. със средства осигурени с приемането на  Закон за държавния бюджет 2018 г., ПМС 332/22.12.2017 г.   </w:t>
      </w:r>
      <w:r w:rsidRPr="00A24CF3">
        <w:rPr>
          <w:rFonts w:ascii="Times New Roman" w:hAnsi="Times New Roman" w:cs="Times New Roman"/>
          <w:sz w:val="24"/>
          <w:szCs w:val="24"/>
          <w:lang w:val="bg-BG"/>
        </w:rPr>
        <w:t>Изпълнен</w:t>
      </w:r>
      <w:r w:rsidRPr="00A24CF3">
        <w:rPr>
          <w:rFonts w:ascii="Times New Roman" w:hAnsi="Times New Roman" w:cs="Times New Roman"/>
          <w:sz w:val="24"/>
          <w:szCs w:val="24"/>
        </w:rPr>
        <w:t xml:space="preserve"> е</w:t>
      </w:r>
      <w:r w:rsidRPr="00A24CF3">
        <w:rPr>
          <w:rFonts w:ascii="Times New Roman" w:hAnsi="Times New Roman" w:cs="Times New Roman"/>
          <w:sz w:val="24"/>
          <w:szCs w:val="24"/>
          <w:lang w:val="bg-BG"/>
        </w:rPr>
        <w:t xml:space="preserve"> проект</w:t>
      </w:r>
      <w:r w:rsidRPr="00A24CF3">
        <w:rPr>
          <w:rFonts w:ascii="Times New Roman" w:hAnsi="Times New Roman" w:cs="Times New Roman"/>
          <w:sz w:val="24"/>
          <w:szCs w:val="24"/>
        </w:rPr>
        <w:t xml:space="preserve">: </w:t>
      </w:r>
      <w:r w:rsidRPr="00A24CF3">
        <w:rPr>
          <w:rFonts w:ascii="Times New Roman" w:hAnsi="Times New Roman" w:cs="Times New Roman"/>
          <w:sz w:val="24"/>
          <w:szCs w:val="24"/>
          <w:lang w:val="bg-BG"/>
        </w:rPr>
        <w:t>„Преустройство на помещение от младежки клуб</w:t>
      </w:r>
      <w:r w:rsidRPr="00A24CF3">
        <w:rPr>
          <w:rFonts w:ascii="Times New Roman" w:hAnsi="Times New Roman" w:cs="Times New Roman"/>
          <w:sz w:val="24"/>
          <w:szCs w:val="24"/>
        </w:rPr>
        <w:t xml:space="preserve"> в</w:t>
      </w:r>
      <w:r w:rsidRPr="00A24CF3">
        <w:rPr>
          <w:rFonts w:ascii="Times New Roman" w:hAnsi="Times New Roman" w:cs="Times New Roman"/>
          <w:sz w:val="24"/>
          <w:szCs w:val="24"/>
          <w:lang w:val="bg-BG"/>
        </w:rPr>
        <w:t xml:space="preserve"> помещение за социални услуги</w:t>
      </w:r>
      <w:r w:rsidRPr="00A24CF3">
        <w:rPr>
          <w:rFonts w:ascii="Times New Roman" w:hAnsi="Times New Roman" w:cs="Times New Roman"/>
          <w:sz w:val="24"/>
          <w:szCs w:val="24"/>
        </w:rPr>
        <w:t xml:space="preserve"> в</w:t>
      </w:r>
      <w:r w:rsidRPr="00A24CF3">
        <w:rPr>
          <w:rFonts w:ascii="Times New Roman" w:hAnsi="Times New Roman" w:cs="Times New Roman"/>
          <w:sz w:val="24"/>
          <w:szCs w:val="24"/>
          <w:lang w:val="bg-BG"/>
        </w:rPr>
        <w:t xml:space="preserve"> Кметство село Горско Сливово</w:t>
      </w:r>
      <w:r w:rsidRPr="00A24CF3">
        <w:rPr>
          <w:rFonts w:ascii="Times New Roman" w:hAnsi="Times New Roman" w:cs="Times New Roman"/>
          <w:sz w:val="24"/>
          <w:szCs w:val="24"/>
        </w:rPr>
        <w:t xml:space="preserve">“. </w:t>
      </w:r>
      <w:proofErr w:type="gramStart"/>
      <w:r w:rsidRPr="00A24CF3">
        <w:rPr>
          <w:rFonts w:ascii="Times New Roman" w:hAnsi="Times New Roman" w:cs="Times New Roman"/>
          <w:sz w:val="24"/>
          <w:szCs w:val="24"/>
        </w:rPr>
        <w:t>В</w:t>
      </w:r>
      <w:r w:rsidRPr="00A24CF3">
        <w:rPr>
          <w:rFonts w:ascii="Times New Roman" w:hAnsi="Times New Roman" w:cs="Times New Roman"/>
          <w:sz w:val="24"/>
          <w:szCs w:val="24"/>
          <w:lang w:val="bg-BG"/>
        </w:rPr>
        <w:t xml:space="preserve"> резултат на изпълнението на проекта</w:t>
      </w:r>
      <w:r w:rsidRPr="00A24CF3">
        <w:rPr>
          <w:rFonts w:ascii="Times New Roman" w:hAnsi="Times New Roman" w:cs="Times New Roman"/>
          <w:sz w:val="24"/>
          <w:szCs w:val="24"/>
        </w:rPr>
        <w:t xml:space="preserve"> е</w:t>
      </w:r>
      <w:r w:rsidRPr="00A24CF3">
        <w:rPr>
          <w:rFonts w:ascii="Times New Roman" w:hAnsi="Times New Roman" w:cs="Times New Roman"/>
          <w:sz w:val="24"/>
          <w:szCs w:val="24"/>
          <w:lang w:val="bg-BG"/>
        </w:rPr>
        <w:t xml:space="preserve"> реконструирано</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обзаведено</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оборудвано помещение за обществена трапезария</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домашен социален патронаж</w:t>
      </w:r>
      <w:r w:rsidRPr="00A24CF3">
        <w:rPr>
          <w:rFonts w:ascii="Times New Roman" w:hAnsi="Times New Roman" w:cs="Times New Roman"/>
          <w:sz w:val="24"/>
          <w:szCs w:val="24"/>
        </w:rPr>
        <w:t xml:space="preserve"> в</w:t>
      </w:r>
      <w:r w:rsidRPr="00A24CF3">
        <w:rPr>
          <w:rFonts w:ascii="Times New Roman" w:hAnsi="Times New Roman" w:cs="Times New Roman"/>
          <w:sz w:val="24"/>
          <w:szCs w:val="24"/>
          <w:lang w:val="bg-BG"/>
        </w:rPr>
        <w:t xml:space="preserve"> село Горско Сливово</w:t>
      </w:r>
      <w:r w:rsidRPr="00A24CF3">
        <w:rPr>
          <w:rFonts w:ascii="Times New Roman" w:hAnsi="Times New Roman" w:cs="Times New Roman"/>
          <w:sz w:val="24"/>
          <w:szCs w:val="24"/>
        </w:rPr>
        <w:t>.</w:t>
      </w:r>
      <w:r w:rsidRPr="00A24CF3">
        <w:rPr>
          <w:rFonts w:ascii="Times New Roman" w:hAnsi="Times New Roman" w:cs="Times New Roman"/>
          <w:sz w:val="24"/>
          <w:szCs w:val="24"/>
          <w:lang w:val="bg-BG"/>
        </w:rPr>
        <w:t xml:space="preserve"> Разкрит</w:t>
      </w:r>
      <w:r w:rsidRPr="00A24CF3">
        <w:rPr>
          <w:rFonts w:ascii="Times New Roman" w:hAnsi="Times New Roman" w:cs="Times New Roman"/>
          <w:sz w:val="24"/>
          <w:szCs w:val="24"/>
        </w:rPr>
        <w:t xml:space="preserve"> е</w:t>
      </w:r>
      <w:r w:rsidRPr="00A24CF3">
        <w:rPr>
          <w:rFonts w:ascii="Times New Roman" w:hAnsi="Times New Roman" w:cs="Times New Roman"/>
          <w:sz w:val="24"/>
          <w:szCs w:val="24"/>
          <w:lang w:val="bg-BG"/>
        </w:rPr>
        <w:t xml:space="preserve"> филиал на Домашен социален патронаж</w:t>
      </w:r>
      <w:r w:rsidRPr="00A24CF3">
        <w:rPr>
          <w:rFonts w:ascii="Times New Roman" w:hAnsi="Times New Roman" w:cs="Times New Roman"/>
          <w:sz w:val="24"/>
          <w:szCs w:val="24"/>
        </w:rPr>
        <w:t xml:space="preserve"> и</w:t>
      </w:r>
      <w:r w:rsidRPr="00A24CF3">
        <w:rPr>
          <w:rFonts w:ascii="Times New Roman" w:hAnsi="Times New Roman" w:cs="Times New Roman"/>
          <w:sz w:val="24"/>
          <w:szCs w:val="24"/>
          <w:lang w:val="bg-BG"/>
        </w:rPr>
        <w:t xml:space="preserve"> обществена трапезария</w:t>
      </w:r>
      <w:r w:rsidRPr="00A24CF3">
        <w:rPr>
          <w:rFonts w:ascii="Times New Roman" w:hAnsi="Times New Roman" w:cs="Times New Roman"/>
          <w:sz w:val="24"/>
          <w:szCs w:val="24"/>
        </w:rPr>
        <w:t xml:space="preserve"> с</w:t>
      </w:r>
      <w:r w:rsidRPr="00A24CF3">
        <w:rPr>
          <w:rFonts w:ascii="Times New Roman" w:hAnsi="Times New Roman" w:cs="Times New Roman"/>
          <w:sz w:val="24"/>
          <w:szCs w:val="24"/>
          <w:lang w:val="bg-BG"/>
        </w:rPr>
        <w:t xml:space="preserve"> капацитет</w:t>
      </w:r>
      <w:r w:rsidRPr="00A24CF3">
        <w:rPr>
          <w:rFonts w:ascii="Times New Roman" w:hAnsi="Times New Roman" w:cs="Times New Roman"/>
          <w:sz w:val="24"/>
          <w:szCs w:val="24"/>
        </w:rPr>
        <w:t xml:space="preserve"> 40</w:t>
      </w:r>
      <w:r w:rsidRPr="00A24CF3">
        <w:rPr>
          <w:rFonts w:ascii="Times New Roman" w:hAnsi="Times New Roman" w:cs="Times New Roman"/>
          <w:sz w:val="24"/>
          <w:szCs w:val="24"/>
          <w:lang w:val="bg-BG"/>
        </w:rPr>
        <w:t xml:space="preserve"> потребителя</w:t>
      </w:r>
      <w:r w:rsidRPr="00A24CF3">
        <w:rPr>
          <w:rFonts w:ascii="Times New Roman" w:hAnsi="Times New Roman" w:cs="Times New Roman"/>
          <w:sz w:val="24"/>
          <w:szCs w:val="24"/>
        </w:rPr>
        <w:t>.</w:t>
      </w:r>
      <w:proofErr w:type="gramEnd"/>
      <w:r w:rsidR="007B04E3">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 xml:space="preserve">Осигуряване </w:t>
      </w:r>
      <w:r w:rsidR="007B04E3">
        <w:rPr>
          <w:rFonts w:ascii="Times New Roman" w:hAnsi="Times New Roman" w:cs="Times New Roman"/>
          <w:sz w:val="24"/>
          <w:szCs w:val="24"/>
          <w:lang w:val="bg-BG"/>
        </w:rPr>
        <w:t xml:space="preserve">на топъл обяд в община Летница: </w:t>
      </w:r>
      <w:r w:rsidRPr="008B2893">
        <w:rPr>
          <w:rFonts w:ascii="Times New Roman" w:hAnsi="Times New Roman" w:cs="Times New Roman"/>
          <w:sz w:val="24"/>
          <w:szCs w:val="24"/>
          <w:lang w:val="bg-BG"/>
        </w:rPr>
        <w:t>На 19.07.2016 г. е подписан Договор за безвъзмездна финансова помощ с Агенция за социално подпомагане, финансиран от Оперативна програма за храни и/или основно материално подпомагане от Фонд за европейско подпомагане на най-нуждаещите се лица, за предоставяне на помощ под форма на топъл обяд и предоставяне на съпътстващи мерки на 50 бр. лица от целевите групи. Предоставянето на топлия обяд започва на 01.08.2016 г. и е със срок до 30.04.2017 г. През 2017 г. е подписан анекс към договора, като срока на договора  е удължен от 01.10.2017-31.12.2019 г.</w:t>
      </w:r>
    </w:p>
    <w:p w:rsidR="008B2893" w:rsidRPr="008B2893" w:rsidRDefault="008B2893" w:rsidP="00A24CF3">
      <w:pPr>
        <w:pStyle w:val="ListParagraph"/>
        <w:spacing w:line="240" w:lineRule="auto"/>
        <w:ind w:left="0"/>
        <w:jc w:val="both"/>
        <w:rPr>
          <w:rFonts w:ascii="Times New Roman" w:hAnsi="Times New Roman" w:cs="Times New Roman"/>
          <w:sz w:val="24"/>
          <w:szCs w:val="24"/>
        </w:rPr>
      </w:pPr>
      <w:r w:rsidRPr="008B2893">
        <w:rPr>
          <w:rFonts w:ascii="Times New Roman" w:hAnsi="Times New Roman" w:cs="Times New Roman"/>
          <w:sz w:val="24"/>
          <w:szCs w:val="24"/>
          <w:lang w:val="bg-BG"/>
        </w:rPr>
        <w:t>Местната комисия</w:t>
      </w:r>
      <w:r w:rsidRPr="008B2893">
        <w:rPr>
          <w:rFonts w:ascii="Times New Roman" w:hAnsi="Times New Roman" w:cs="Times New Roman"/>
          <w:sz w:val="24"/>
          <w:szCs w:val="24"/>
          <w:lang w:val="ru-RU"/>
        </w:rPr>
        <w:t xml:space="preserve"> за</w:t>
      </w:r>
      <w:r w:rsidRPr="008B2893">
        <w:rPr>
          <w:rFonts w:ascii="Times New Roman" w:hAnsi="Times New Roman" w:cs="Times New Roman"/>
          <w:sz w:val="24"/>
          <w:szCs w:val="24"/>
          <w:lang w:val="bg-BG"/>
        </w:rPr>
        <w:t xml:space="preserve"> борба</w:t>
      </w:r>
      <w:r w:rsidRPr="008B2893">
        <w:rPr>
          <w:rFonts w:ascii="Times New Roman" w:hAnsi="Times New Roman" w:cs="Times New Roman"/>
          <w:sz w:val="24"/>
          <w:szCs w:val="24"/>
          <w:lang w:val="ru-RU"/>
        </w:rPr>
        <w:t xml:space="preserve"> с</w:t>
      </w:r>
      <w:r w:rsidRPr="008B2893">
        <w:rPr>
          <w:rFonts w:ascii="Times New Roman" w:hAnsi="Times New Roman" w:cs="Times New Roman"/>
          <w:sz w:val="24"/>
          <w:szCs w:val="24"/>
          <w:lang w:val="bg-BG"/>
        </w:rPr>
        <w:t xml:space="preserve"> противообществените</w:t>
      </w:r>
      <w:r w:rsidRPr="008B2893">
        <w:rPr>
          <w:rFonts w:ascii="Times New Roman" w:hAnsi="Times New Roman" w:cs="Times New Roman"/>
          <w:sz w:val="24"/>
          <w:szCs w:val="24"/>
          <w:lang w:val="ru-RU"/>
        </w:rPr>
        <w:t xml:space="preserve"> прояви на</w:t>
      </w:r>
      <w:r w:rsidRPr="008B2893">
        <w:rPr>
          <w:rFonts w:ascii="Times New Roman" w:hAnsi="Times New Roman" w:cs="Times New Roman"/>
          <w:sz w:val="24"/>
          <w:szCs w:val="24"/>
          <w:lang w:val="bg-BG"/>
        </w:rPr>
        <w:t xml:space="preserve"> малолетни</w:t>
      </w:r>
      <w:r w:rsidRPr="008B2893">
        <w:rPr>
          <w:rFonts w:ascii="Times New Roman" w:hAnsi="Times New Roman" w:cs="Times New Roman"/>
          <w:sz w:val="24"/>
          <w:szCs w:val="24"/>
          <w:lang w:val="ru-RU"/>
        </w:rPr>
        <w:t xml:space="preserve"> и</w:t>
      </w:r>
      <w:r w:rsidRPr="008B2893">
        <w:rPr>
          <w:rFonts w:ascii="Times New Roman" w:hAnsi="Times New Roman" w:cs="Times New Roman"/>
          <w:sz w:val="24"/>
          <w:szCs w:val="24"/>
          <w:lang w:val="bg-BG"/>
        </w:rPr>
        <w:t xml:space="preserve"> непълнолетни (МКБППМН)</w:t>
      </w:r>
      <w:r w:rsidRPr="008B2893">
        <w:rPr>
          <w:rFonts w:ascii="Times New Roman" w:hAnsi="Times New Roman" w:cs="Times New Roman"/>
          <w:sz w:val="24"/>
          <w:szCs w:val="24"/>
          <w:lang w:val="ru-RU"/>
        </w:rPr>
        <w:t>, в</w:t>
      </w:r>
      <w:r w:rsidRPr="008B2893">
        <w:rPr>
          <w:rFonts w:ascii="Times New Roman" w:hAnsi="Times New Roman" w:cs="Times New Roman"/>
          <w:sz w:val="24"/>
          <w:szCs w:val="24"/>
          <w:lang w:val="bg-BG"/>
        </w:rPr>
        <w:t xml:space="preserve"> тясна</w:t>
      </w:r>
      <w:r w:rsidRPr="008B2893">
        <w:rPr>
          <w:rFonts w:ascii="Times New Roman" w:hAnsi="Times New Roman" w:cs="Times New Roman"/>
          <w:sz w:val="24"/>
          <w:szCs w:val="24"/>
          <w:lang w:val="ru-RU"/>
        </w:rPr>
        <w:t xml:space="preserve"> </w:t>
      </w:r>
      <w:proofErr w:type="spellStart"/>
      <w:r w:rsidRPr="008B2893">
        <w:rPr>
          <w:rFonts w:ascii="Times New Roman" w:hAnsi="Times New Roman" w:cs="Times New Roman"/>
          <w:sz w:val="24"/>
          <w:szCs w:val="24"/>
          <w:lang w:val="ru-RU"/>
        </w:rPr>
        <w:t>връзка</w:t>
      </w:r>
      <w:proofErr w:type="spellEnd"/>
      <w:r w:rsidRPr="008B2893">
        <w:rPr>
          <w:rFonts w:ascii="Times New Roman" w:hAnsi="Times New Roman" w:cs="Times New Roman"/>
          <w:sz w:val="24"/>
          <w:szCs w:val="24"/>
          <w:lang w:val="ru-RU"/>
        </w:rPr>
        <w:t xml:space="preserve"> с</w:t>
      </w:r>
      <w:r w:rsidRPr="008B2893">
        <w:rPr>
          <w:rFonts w:ascii="Times New Roman" w:hAnsi="Times New Roman" w:cs="Times New Roman"/>
          <w:sz w:val="24"/>
          <w:szCs w:val="24"/>
          <w:lang w:val="bg-BG"/>
        </w:rPr>
        <w:t xml:space="preserve"> училището организира дейности по превенция на насилието и преодоляване на проблемното поведение. Осигурява подкрепа на деца, ученици и семейства в риск, затруднено социално положение и предразположение към проява на агресия.</w:t>
      </w:r>
    </w:p>
    <w:p w:rsidR="008B2893" w:rsidRPr="008B2893" w:rsidRDefault="008B2893" w:rsidP="00A24CF3">
      <w:pPr>
        <w:pStyle w:val="ListParagraph"/>
        <w:spacing w:line="240" w:lineRule="auto"/>
        <w:ind w:left="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 xml:space="preserve">През 2017 год. са образувани две  възпитателни дела и двете дела </w:t>
      </w:r>
      <w:r w:rsidR="00E03162">
        <w:rPr>
          <w:rFonts w:ascii="Times New Roman" w:hAnsi="Times New Roman" w:cs="Times New Roman"/>
          <w:sz w:val="24"/>
          <w:szCs w:val="24"/>
          <w:lang w:val="bg-BG"/>
        </w:rPr>
        <w:t xml:space="preserve">са </w:t>
      </w:r>
      <w:r w:rsidRPr="008B2893">
        <w:rPr>
          <w:rFonts w:ascii="Times New Roman" w:hAnsi="Times New Roman" w:cs="Times New Roman"/>
          <w:sz w:val="24"/>
          <w:szCs w:val="24"/>
          <w:lang w:val="bg-BG"/>
        </w:rPr>
        <w:t>по отношение на кражба извършена от непълнолетни деца. Наложени са наказателни мерки по чл. 13, ал.1 от ЗБППМН с непълнолетните работят обществени възпитатели.</w:t>
      </w:r>
    </w:p>
    <w:p w:rsidR="008B2893" w:rsidRPr="007B04E3" w:rsidRDefault="008B2893" w:rsidP="007B04E3">
      <w:pPr>
        <w:pStyle w:val="ListParagraph"/>
        <w:spacing w:line="240" w:lineRule="auto"/>
        <w:ind w:left="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Със средства от издръжката на МКБППМН е направена фитнес площадка за превенция на борб</w:t>
      </w:r>
      <w:r w:rsidR="007B04E3">
        <w:rPr>
          <w:rFonts w:ascii="Times New Roman" w:hAnsi="Times New Roman" w:cs="Times New Roman"/>
          <w:sz w:val="24"/>
          <w:szCs w:val="24"/>
          <w:lang w:val="bg-BG"/>
        </w:rPr>
        <w:t>ата с противообществени прояви.</w:t>
      </w:r>
    </w:p>
    <w:p w:rsidR="007B04E3" w:rsidRDefault="008B2893" w:rsidP="007B04E3">
      <w:pPr>
        <w:pStyle w:val="ListParagraph"/>
        <w:spacing w:line="240" w:lineRule="auto"/>
        <w:ind w:left="0"/>
        <w:jc w:val="both"/>
        <w:rPr>
          <w:rFonts w:ascii="Times New Roman" w:hAnsi="Times New Roman" w:cs="Times New Roman"/>
          <w:sz w:val="24"/>
          <w:szCs w:val="24"/>
          <w:lang w:val="ru-RU"/>
        </w:rPr>
      </w:pPr>
      <w:proofErr w:type="spellStart"/>
      <w:r w:rsidRPr="008B2893">
        <w:rPr>
          <w:rFonts w:ascii="Times New Roman" w:hAnsi="Times New Roman" w:cs="Times New Roman"/>
          <w:sz w:val="24"/>
          <w:szCs w:val="24"/>
          <w:lang w:val="ru-RU"/>
        </w:rPr>
        <w:t>През</w:t>
      </w:r>
      <w:proofErr w:type="spellEnd"/>
      <w:r w:rsidRPr="008B2893">
        <w:rPr>
          <w:rFonts w:ascii="Times New Roman" w:hAnsi="Times New Roman" w:cs="Times New Roman"/>
          <w:sz w:val="24"/>
          <w:szCs w:val="24"/>
          <w:lang w:val="bg-BG"/>
        </w:rPr>
        <w:t xml:space="preserve"> изминалата</w:t>
      </w:r>
      <w:r w:rsidRPr="008B2893">
        <w:rPr>
          <w:rFonts w:ascii="Times New Roman" w:hAnsi="Times New Roman" w:cs="Times New Roman"/>
          <w:sz w:val="24"/>
          <w:szCs w:val="24"/>
          <w:lang w:val="ru-RU"/>
        </w:rPr>
        <w:t xml:space="preserve"> 2017 година</w:t>
      </w:r>
      <w:r w:rsidRPr="008B2893">
        <w:rPr>
          <w:rFonts w:ascii="Times New Roman" w:hAnsi="Times New Roman" w:cs="Times New Roman"/>
          <w:sz w:val="24"/>
          <w:szCs w:val="24"/>
          <w:lang w:val="bg-BG"/>
        </w:rPr>
        <w:t xml:space="preserve"> </w:t>
      </w:r>
      <w:proofErr w:type="gramStart"/>
      <w:r w:rsidRPr="008B2893">
        <w:rPr>
          <w:rFonts w:ascii="Times New Roman" w:hAnsi="Times New Roman" w:cs="Times New Roman"/>
          <w:sz w:val="24"/>
          <w:szCs w:val="24"/>
          <w:lang w:val="bg-BG"/>
        </w:rPr>
        <w:t>в</w:t>
      </w:r>
      <w:proofErr w:type="gramEnd"/>
      <w:r w:rsidRPr="008B2893">
        <w:rPr>
          <w:rFonts w:ascii="Times New Roman" w:hAnsi="Times New Roman" w:cs="Times New Roman"/>
          <w:sz w:val="24"/>
          <w:szCs w:val="24"/>
          <w:lang w:val="bg-BG"/>
        </w:rPr>
        <w:t xml:space="preserve"> </w:t>
      </w:r>
      <w:proofErr w:type="gramStart"/>
      <w:r w:rsidRPr="008B2893">
        <w:rPr>
          <w:rFonts w:ascii="Times New Roman" w:hAnsi="Times New Roman" w:cs="Times New Roman"/>
          <w:sz w:val="24"/>
          <w:szCs w:val="24"/>
          <w:lang w:val="bg-BG"/>
        </w:rPr>
        <w:t>община</w:t>
      </w:r>
      <w:proofErr w:type="gramEnd"/>
      <w:r w:rsidRPr="008B2893">
        <w:rPr>
          <w:rFonts w:ascii="Times New Roman" w:hAnsi="Times New Roman" w:cs="Times New Roman"/>
          <w:sz w:val="24"/>
          <w:szCs w:val="24"/>
          <w:lang w:val="ru-RU"/>
        </w:rPr>
        <w:t xml:space="preserve"> </w:t>
      </w:r>
      <w:proofErr w:type="spellStart"/>
      <w:r w:rsidRPr="008B2893">
        <w:rPr>
          <w:rFonts w:ascii="Times New Roman" w:hAnsi="Times New Roman" w:cs="Times New Roman"/>
          <w:sz w:val="24"/>
          <w:szCs w:val="24"/>
          <w:lang w:val="ru-RU"/>
        </w:rPr>
        <w:t>Летница</w:t>
      </w:r>
      <w:proofErr w:type="spellEnd"/>
      <w:r w:rsidRPr="008B2893">
        <w:rPr>
          <w:rFonts w:ascii="Times New Roman" w:hAnsi="Times New Roman" w:cs="Times New Roman"/>
          <w:sz w:val="24"/>
          <w:szCs w:val="24"/>
          <w:lang w:val="ru-RU"/>
        </w:rPr>
        <w:t xml:space="preserve"> се</w:t>
      </w:r>
      <w:r w:rsidRPr="008B2893">
        <w:rPr>
          <w:rFonts w:ascii="Times New Roman" w:hAnsi="Times New Roman" w:cs="Times New Roman"/>
          <w:sz w:val="24"/>
          <w:szCs w:val="24"/>
          <w:lang w:val="bg-BG"/>
        </w:rPr>
        <w:t xml:space="preserve"> проведоха</w:t>
      </w:r>
      <w:r w:rsidRPr="008B2893">
        <w:rPr>
          <w:rFonts w:ascii="Times New Roman" w:hAnsi="Times New Roman" w:cs="Times New Roman"/>
          <w:sz w:val="24"/>
          <w:szCs w:val="24"/>
          <w:lang w:val="ru-RU"/>
        </w:rPr>
        <w:t xml:space="preserve"> множество</w:t>
      </w:r>
      <w:r w:rsidRPr="008B2893">
        <w:rPr>
          <w:rFonts w:ascii="Times New Roman" w:hAnsi="Times New Roman" w:cs="Times New Roman"/>
          <w:sz w:val="24"/>
          <w:szCs w:val="24"/>
          <w:lang w:val="bg-BG"/>
        </w:rPr>
        <w:t xml:space="preserve"> културно</w:t>
      </w:r>
      <w:r w:rsidRPr="008B2893">
        <w:rPr>
          <w:rFonts w:ascii="Times New Roman" w:hAnsi="Times New Roman" w:cs="Times New Roman"/>
          <w:sz w:val="24"/>
          <w:szCs w:val="24"/>
          <w:lang w:val="ru-RU"/>
        </w:rPr>
        <w:t xml:space="preserve"> -</w:t>
      </w:r>
      <w:r w:rsidRPr="008B2893">
        <w:rPr>
          <w:rFonts w:ascii="Times New Roman" w:hAnsi="Times New Roman" w:cs="Times New Roman"/>
          <w:sz w:val="24"/>
          <w:szCs w:val="24"/>
          <w:lang w:val="bg-BG"/>
        </w:rPr>
        <w:t xml:space="preserve"> масови</w:t>
      </w:r>
      <w:r w:rsidRPr="008B2893">
        <w:rPr>
          <w:rFonts w:ascii="Times New Roman" w:hAnsi="Times New Roman" w:cs="Times New Roman"/>
          <w:sz w:val="24"/>
          <w:szCs w:val="24"/>
          <w:lang w:val="ru-RU"/>
        </w:rPr>
        <w:t xml:space="preserve"> мероприятия,</w:t>
      </w:r>
      <w:r w:rsidRPr="008B2893">
        <w:rPr>
          <w:rFonts w:ascii="Times New Roman" w:hAnsi="Times New Roman" w:cs="Times New Roman"/>
          <w:sz w:val="24"/>
          <w:szCs w:val="24"/>
          <w:lang w:val="bg-BG"/>
        </w:rPr>
        <w:t xml:space="preserve"> свързани</w:t>
      </w:r>
      <w:r w:rsidRPr="008B2893">
        <w:rPr>
          <w:rFonts w:ascii="Times New Roman" w:hAnsi="Times New Roman" w:cs="Times New Roman"/>
          <w:sz w:val="24"/>
          <w:szCs w:val="24"/>
          <w:lang w:val="ru-RU"/>
        </w:rPr>
        <w:t xml:space="preserve"> с</w:t>
      </w:r>
      <w:r w:rsidRPr="008B2893">
        <w:rPr>
          <w:rFonts w:ascii="Times New Roman" w:hAnsi="Times New Roman" w:cs="Times New Roman"/>
          <w:sz w:val="24"/>
          <w:szCs w:val="24"/>
          <w:lang w:val="bg-BG"/>
        </w:rPr>
        <w:t xml:space="preserve"> национални</w:t>
      </w:r>
      <w:r w:rsidRPr="008B2893">
        <w:rPr>
          <w:rFonts w:ascii="Times New Roman" w:hAnsi="Times New Roman" w:cs="Times New Roman"/>
          <w:sz w:val="24"/>
          <w:szCs w:val="24"/>
          <w:lang w:val="ru-RU"/>
        </w:rPr>
        <w:t xml:space="preserve">, </w:t>
      </w:r>
      <w:proofErr w:type="spellStart"/>
      <w:r w:rsidRPr="008B2893">
        <w:rPr>
          <w:rFonts w:ascii="Times New Roman" w:hAnsi="Times New Roman" w:cs="Times New Roman"/>
          <w:sz w:val="24"/>
          <w:szCs w:val="24"/>
          <w:lang w:val="ru-RU"/>
        </w:rPr>
        <w:t>общински</w:t>
      </w:r>
      <w:proofErr w:type="spellEnd"/>
      <w:r w:rsidRPr="008B2893">
        <w:rPr>
          <w:rFonts w:ascii="Times New Roman" w:hAnsi="Times New Roman" w:cs="Times New Roman"/>
          <w:sz w:val="24"/>
          <w:szCs w:val="24"/>
          <w:lang w:val="ru-RU"/>
        </w:rPr>
        <w:t xml:space="preserve"> и</w:t>
      </w:r>
      <w:r w:rsidRPr="008B2893">
        <w:rPr>
          <w:rFonts w:ascii="Times New Roman" w:hAnsi="Times New Roman" w:cs="Times New Roman"/>
          <w:sz w:val="24"/>
          <w:szCs w:val="24"/>
          <w:lang w:val="bg-BG"/>
        </w:rPr>
        <w:t xml:space="preserve"> традиционни празници</w:t>
      </w:r>
      <w:r w:rsidRPr="008B2893">
        <w:rPr>
          <w:rFonts w:ascii="Times New Roman" w:hAnsi="Times New Roman" w:cs="Times New Roman"/>
          <w:sz w:val="24"/>
          <w:szCs w:val="24"/>
          <w:lang w:val="ru-RU"/>
        </w:rPr>
        <w:t xml:space="preserve"> и</w:t>
      </w:r>
      <w:r w:rsidRPr="008B2893">
        <w:rPr>
          <w:rFonts w:ascii="Times New Roman" w:hAnsi="Times New Roman" w:cs="Times New Roman"/>
          <w:sz w:val="24"/>
          <w:szCs w:val="24"/>
          <w:lang w:val="bg-BG"/>
        </w:rPr>
        <w:t xml:space="preserve"> събития</w:t>
      </w:r>
      <w:r w:rsidRPr="008B2893">
        <w:rPr>
          <w:rFonts w:ascii="Times New Roman" w:hAnsi="Times New Roman" w:cs="Times New Roman"/>
          <w:sz w:val="24"/>
          <w:szCs w:val="24"/>
          <w:lang w:val="ru-RU"/>
        </w:rPr>
        <w:t xml:space="preserve">. </w:t>
      </w:r>
      <w:proofErr w:type="spellStart"/>
      <w:r w:rsidRPr="008B2893">
        <w:rPr>
          <w:rFonts w:ascii="Times New Roman" w:hAnsi="Times New Roman" w:cs="Times New Roman"/>
          <w:sz w:val="24"/>
          <w:szCs w:val="24"/>
          <w:lang w:val="ru-RU"/>
        </w:rPr>
        <w:t>Дейностите</w:t>
      </w:r>
      <w:proofErr w:type="spellEnd"/>
      <w:r w:rsidRPr="008B2893">
        <w:rPr>
          <w:rFonts w:ascii="Times New Roman" w:hAnsi="Times New Roman" w:cs="Times New Roman"/>
          <w:sz w:val="24"/>
          <w:szCs w:val="24"/>
          <w:lang w:val="ru-RU"/>
        </w:rPr>
        <w:t xml:space="preserve"> по</w:t>
      </w:r>
      <w:r w:rsidRPr="008B2893">
        <w:rPr>
          <w:rFonts w:ascii="Times New Roman" w:hAnsi="Times New Roman" w:cs="Times New Roman"/>
          <w:sz w:val="24"/>
          <w:szCs w:val="24"/>
          <w:lang w:val="bg-BG"/>
        </w:rPr>
        <w:t xml:space="preserve"> организацията</w:t>
      </w:r>
      <w:r w:rsidRPr="008B2893">
        <w:rPr>
          <w:rFonts w:ascii="Times New Roman" w:hAnsi="Times New Roman" w:cs="Times New Roman"/>
          <w:sz w:val="24"/>
          <w:szCs w:val="24"/>
          <w:lang w:val="ru-RU"/>
        </w:rPr>
        <w:t xml:space="preserve"> им</w:t>
      </w:r>
      <w:r w:rsidRPr="008B2893">
        <w:rPr>
          <w:rFonts w:ascii="Times New Roman" w:hAnsi="Times New Roman" w:cs="Times New Roman"/>
          <w:sz w:val="24"/>
          <w:szCs w:val="24"/>
          <w:lang w:val="bg-BG"/>
        </w:rPr>
        <w:t xml:space="preserve"> бе осъществена</w:t>
      </w:r>
      <w:r w:rsidRPr="008B2893">
        <w:rPr>
          <w:rFonts w:ascii="Times New Roman" w:hAnsi="Times New Roman" w:cs="Times New Roman"/>
          <w:sz w:val="24"/>
          <w:szCs w:val="24"/>
          <w:lang w:val="ru-RU"/>
        </w:rPr>
        <w:t xml:space="preserve"> </w:t>
      </w:r>
      <w:proofErr w:type="spellStart"/>
      <w:r w:rsidRPr="008B2893">
        <w:rPr>
          <w:rFonts w:ascii="Times New Roman" w:hAnsi="Times New Roman" w:cs="Times New Roman"/>
          <w:sz w:val="24"/>
          <w:szCs w:val="24"/>
          <w:lang w:val="ru-RU"/>
        </w:rPr>
        <w:t>със</w:t>
      </w:r>
      <w:proofErr w:type="spellEnd"/>
      <w:r w:rsidRPr="008B2893">
        <w:rPr>
          <w:rFonts w:ascii="Times New Roman" w:hAnsi="Times New Roman" w:cs="Times New Roman"/>
          <w:sz w:val="24"/>
          <w:szCs w:val="24"/>
          <w:lang w:val="bg-BG"/>
        </w:rPr>
        <w:t xml:space="preserve"> съвместните</w:t>
      </w:r>
      <w:r w:rsidRPr="008B2893">
        <w:rPr>
          <w:rFonts w:ascii="Times New Roman" w:hAnsi="Times New Roman" w:cs="Times New Roman"/>
          <w:sz w:val="24"/>
          <w:szCs w:val="24"/>
          <w:lang w:val="ru-RU"/>
        </w:rPr>
        <w:t xml:space="preserve"> усилия </w:t>
      </w:r>
      <w:proofErr w:type="gramStart"/>
      <w:r w:rsidRPr="008B2893">
        <w:rPr>
          <w:rFonts w:ascii="Times New Roman" w:hAnsi="Times New Roman" w:cs="Times New Roman"/>
          <w:sz w:val="24"/>
          <w:szCs w:val="24"/>
          <w:lang w:val="ru-RU"/>
        </w:rPr>
        <w:t>на</w:t>
      </w:r>
      <w:proofErr w:type="gramEnd"/>
      <w:r w:rsidRPr="008B2893">
        <w:rPr>
          <w:rFonts w:ascii="Times New Roman" w:hAnsi="Times New Roman" w:cs="Times New Roman"/>
          <w:sz w:val="24"/>
          <w:szCs w:val="24"/>
          <w:lang w:val="ru-RU"/>
        </w:rPr>
        <w:t xml:space="preserve"> община </w:t>
      </w:r>
      <w:proofErr w:type="spellStart"/>
      <w:r w:rsidRPr="008B2893">
        <w:rPr>
          <w:rFonts w:ascii="Times New Roman" w:hAnsi="Times New Roman" w:cs="Times New Roman"/>
          <w:sz w:val="24"/>
          <w:szCs w:val="24"/>
          <w:lang w:val="ru-RU"/>
        </w:rPr>
        <w:t>Летница</w:t>
      </w:r>
      <w:proofErr w:type="spellEnd"/>
      <w:r w:rsidRPr="008B2893">
        <w:rPr>
          <w:rFonts w:ascii="Times New Roman" w:hAnsi="Times New Roman" w:cs="Times New Roman"/>
          <w:sz w:val="24"/>
          <w:szCs w:val="24"/>
          <w:lang w:val="ru-RU"/>
        </w:rPr>
        <w:t>,</w:t>
      </w:r>
      <w:r w:rsidRPr="008B2893">
        <w:rPr>
          <w:rFonts w:ascii="Times New Roman" w:hAnsi="Times New Roman" w:cs="Times New Roman"/>
          <w:sz w:val="24"/>
          <w:szCs w:val="24"/>
          <w:lang w:val="bg-BG"/>
        </w:rPr>
        <w:t xml:space="preserve"> читалищата</w:t>
      </w:r>
      <w:r w:rsidRPr="008B2893">
        <w:rPr>
          <w:rFonts w:ascii="Times New Roman" w:hAnsi="Times New Roman" w:cs="Times New Roman"/>
          <w:sz w:val="24"/>
          <w:szCs w:val="24"/>
          <w:lang w:val="ru-RU"/>
        </w:rPr>
        <w:t xml:space="preserve"> в </w:t>
      </w:r>
      <w:proofErr w:type="spellStart"/>
      <w:r w:rsidRPr="008B2893">
        <w:rPr>
          <w:rFonts w:ascii="Times New Roman" w:hAnsi="Times New Roman" w:cs="Times New Roman"/>
          <w:sz w:val="24"/>
          <w:szCs w:val="24"/>
          <w:lang w:val="ru-RU"/>
        </w:rPr>
        <w:t>общината</w:t>
      </w:r>
      <w:proofErr w:type="spellEnd"/>
      <w:r w:rsidRPr="008B2893">
        <w:rPr>
          <w:rFonts w:ascii="Times New Roman" w:hAnsi="Times New Roman" w:cs="Times New Roman"/>
          <w:sz w:val="24"/>
          <w:szCs w:val="24"/>
          <w:lang w:val="ru-RU"/>
        </w:rPr>
        <w:t xml:space="preserve">  и </w:t>
      </w:r>
      <w:proofErr w:type="spellStart"/>
      <w:r w:rsidRPr="008B2893">
        <w:rPr>
          <w:rFonts w:ascii="Times New Roman" w:hAnsi="Times New Roman" w:cs="Times New Roman"/>
          <w:sz w:val="24"/>
          <w:szCs w:val="24"/>
          <w:lang w:val="ru-RU"/>
        </w:rPr>
        <w:t>със</w:t>
      </w:r>
      <w:proofErr w:type="spellEnd"/>
      <w:r w:rsidRPr="008B2893">
        <w:rPr>
          <w:rFonts w:ascii="Times New Roman" w:hAnsi="Times New Roman" w:cs="Times New Roman"/>
          <w:sz w:val="24"/>
          <w:szCs w:val="24"/>
          <w:lang w:val="bg-BG"/>
        </w:rPr>
        <w:t xml:space="preserve"> съдействието</w:t>
      </w:r>
      <w:r w:rsidRPr="008B2893">
        <w:rPr>
          <w:rFonts w:ascii="Times New Roman" w:hAnsi="Times New Roman" w:cs="Times New Roman"/>
          <w:sz w:val="24"/>
          <w:szCs w:val="24"/>
          <w:lang w:val="ru-RU"/>
        </w:rPr>
        <w:t xml:space="preserve"> на</w:t>
      </w:r>
      <w:r w:rsidRPr="008B2893">
        <w:rPr>
          <w:rFonts w:ascii="Times New Roman" w:hAnsi="Times New Roman" w:cs="Times New Roman"/>
          <w:sz w:val="24"/>
          <w:szCs w:val="24"/>
          <w:lang w:val="bg-BG"/>
        </w:rPr>
        <w:t xml:space="preserve"> училището</w:t>
      </w:r>
      <w:r w:rsidRPr="008B2893">
        <w:rPr>
          <w:rFonts w:ascii="Times New Roman" w:hAnsi="Times New Roman" w:cs="Times New Roman"/>
          <w:sz w:val="24"/>
          <w:szCs w:val="24"/>
          <w:lang w:val="ru-RU"/>
        </w:rPr>
        <w:t>,</w:t>
      </w:r>
      <w:r w:rsidRPr="008B2893">
        <w:rPr>
          <w:rFonts w:ascii="Times New Roman" w:hAnsi="Times New Roman" w:cs="Times New Roman"/>
          <w:sz w:val="24"/>
          <w:szCs w:val="24"/>
          <w:lang w:val="bg-BG"/>
        </w:rPr>
        <w:t xml:space="preserve"> детската</w:t>
      </w:r>
      <w:r w:rsidRPr="008B2893">
        <w:rPr>
          <w:rFonts w:ascii="Times New Roman" w:hAnsi="Times New Roman" w:cs="Times New Roman"/>
          <w:sz w:val="24"/>
          <w:szCs w:val="24"/>
          <w:lang w:val="ru-RU"/>
        </w:rPr>
        <w:t xml:space="preserve"> градина и</w:t>
      </w:r>
      <w:r w:rsidRPr="008B2893">
        <w:rPr>
          <w:rFonts w:ascii="Times New Roman" w:hAnsi="Times New Roman" w:cs="Times New Roman"/>
          <w:sz w:val="24"/>
          <w:szCs w:val="24"/>
          <w:lang w:val="bg-BG"/>
        </w:rPr>
        <w:t xml:space="preserve"> социалните центрове</w:t>
      </w:r>
      <w:r w:rsidR="007B04E3">
        <w:rPr>
          <w:rFonts w:ascii="Times New Roman" w:hAnsi="Times New Roman" w:cs="Times New Roman"/>
          <w:sz w:val="24"/>
          <w:szCs w:val="24"/>
          <w:lang w:val="ru-RU"/>
        </w:rPr>
        <w:t>.</w:t>
      </w:r>
    </w:p>
    <w:p w:rsidR="008B2893" w:rsidRPr="00A24CF3" w:rsidRDefault="008B2893" w:rsidP="007B04E3">
      <w:pPr>
        <w:pStyle w:val="ListParagraph"/>
        <w:spacing w:line="240" w:lineRule="auto"/>
        <w:ind w:left="0"/>
        <w:jc w:val="both"/>
        <w:rPr>
          <w:rFonts w:ascii="Times New Roman" w:hAnsi="Times New Roman" w:cs="Times New Roman"/>
          <w:sz w:val="24"/>
          <w:szCs w:val="24"/>
          <w:lang w:val="ru-RU"/>
        </w:rPr>
      </w:pPr>
      <w:r w:rsidRPr="00A24CF3">
        <w:rPr>
          <w:rFonts w:ascii="Times New Roman" w:hAnsi="Times New Roman" w:cs="Times New Roman"/>
          <w:sz w:val="24"/>
          <w:szCs w:val="24"/>
          <w:lang w:val="bg-BG"/>
        </w:rPr>
        <w:t>Младежкия център</w:t>
      </w:r>
      <w:r w:rsidRPr="00A24CF3">
        <w:rPr>
          <w:rFonts w:ascii="Times New Roman" w:hAnsi="Times New Roman" w:cs="Times New Roman"/>
          <w:sz w:val="24"/>
          <w:szCs w:val="24"/>
          <w:lang w:val="ru-RU"/>
        </w:rPr>
        <w:t xml:space="preserve"> в гр.</w:t>
      </w:r>
      <w:r w:rsidRPr="00A24CF3">
        <w:rPr>
          <w:rFonts w:ascii="Times New Roman" w:hAnsi="Times New Roman" w:cs="Times New Roman"/>
          <w:sz w:val="24"/>
          <w:szCs w:val="24"/>
          <w:lang w:val="bg-BG"/>
        </w:rPr>
        <w:t xml:space="preserve"> Летница</w:t>
      </w:r>
      <w:r w:rsidRPr="00A24CF3">
        <w:rPr>
          <w:rFonts w:ascii="Times New Roman" w:hAnsi="Times New Roman" w:cs="Times New Roman"/>
          <w:sz w:val="24"/>
          <w:szCs w:val="24"/>
          <w:lang w:val="ru-RU"/>
        </w:rPr>
        <w:t xml:space="preserve">  е</w:t>
      </w:r>
      <w:r w:rsidRPr="00A24CF3">
        <w:rPr>
          <w:rFonts w:ascii="Times New Roman" w:hAnsi="Times New Roman" w:cs="Times New Roman"/>
          <w:sz w:val="24"/>
          <w:szCs w:val="24"/>
          <w:lang w:val="bg-BG"/>
        </w:rPr>
        <w:t xml:space="preserve">  </w:t>
      </w:r>
      <w:r w:rsidRPr="00A24CF3">
        <w:rPr>
          <w:rFonts w:ascii="Times New Roman" w:hAnsi="Times New Roman" w:cs="Times New Roman"/>
          <w:sz w:val="24"/>
          <w:szCs w:val="24"/>
          <w:lang w:val="ru-RU"/>
        </w:rPr>
        <w:t>любимо</w:t>
      </w:r>
      <w:r w:rsidRPr="00A24CF3">
        <w:rPr>
          <w:rFonts w:ascii="Times New Roman" w:hAnsi="Times New Roman" w:cs="Times New Roman"/>
          <w:sz w:val="24"/>
          <w:szCs w:val="24"/>
          <w:lang w:val="bg-BG"/>
        </w:rPr>
        <w:t xml:space="preserve"> място</w:t>
      </w:r>
      <w:r w:rsidRPr="00A24CF3">
        <w:rPr>
          <w:rFonts w:ascii="Times New Roman" w:hAnsi="Times New Roman" w:cs="Times New Roman"/>
          <w:sz w:val="24"/>
          <w:szCs w:val="24"/>
          <w:lang w:val="ru-RU"/>
        </w:rPr>
        <w:t xml:space="preserve"> за малки и</w:t>
      </w:r>
      <w:r w:rsidRPr="00A24CF3">
        <w:rPr>
          <w:rFonts w:ascii="Times New Roman" w:hAnsi="Times New Roman" w:cs="Times New Roman"/>
          <w:sz w:val="24"/>
          <w:szCs w:val="24"/>
          <w:lang w:val="bg-BG"/>
        </w:rPr>
        <w:t xml:space="preserve"> големи</w:t>
      </w:r>
      <w:r w:rsidRPr="00A24CF3">
        <w:rPr>
          <w:rFonts w:ascii="Times New Roman" w:hAnsi="Times New Roman" w:cs="Times New Roman"/>
          <w:sz w:val="24"/>
          <w:szCs w:val="24"/>
          <w:lang w:val="ru-RU"/>
        </w:rPr>
        <w:t>, за спорт,</w:t>
      </w:r>
      <w:r w:rsidRPr="00A24CF3">
        <w:rPr>
          <w:rFonts w:ascii="Times New Roman" w:hAnsi="Times New Roman" w:cs="Times New Roman"/>
          <w:sz w:val="24"/>
          <w:szCs w:val="24"/>
          <w:lang w:val="bg-BG"/>
        </w:rPr>
        <w:t xml:space="preserve"> забавления</w:t>
      </w:r>
      <w:r w:rsidRPr="00A24CF3">
        <w:rPr>
          <w:rFonts w:ascii="Times New Roman" w:hAnsi="Times New Roman" w:cs="Times New Roman"/>
          <w:sz w:val="24"/>
          <w:szCs w:val="24"/>
          <w:lang w:val="ru-RU"/>
        </w:rPr>
        <w:t xml:space="preserve"> и</w:t>
      </w:r>
      <w:r w:rsidRPr="00A24CF3">
        <w:rPr>
          <w:rFonts w:ascii="Times New Roman" w:hAnsi="Times New Roman" w:cs="Times New Roman"/>
          <w:sz w:val="24"/>
          <w:szCs w:val="24"/>
          <w:lang w:val="bg-BG"/>
        </w:rPr>
        <w:t xml:space="preserve"> приятни минути</w:t>
      </w:r>
      <w:r w:rsidRPr="00A24CF3">
        <w:rPr>
          <w:rFonts w:ascii="Times New Roman" w:hAnsi="Times New Roman" w:cs="Times New Roman"/>
          <w:sz w:val="24"/>
          <w:szCs w:val="24"/>
          <w:lang w:val="ru-RU"/>
        </w:rPr>
        <w:t xml:space="preserve"> с приятели</w:t>
      </w:r>
      <w:r w:rsidRPr="00A24CF3">
        <w:rPr>
          <w:rFonts w:ascii="Times New Roman" w:hAnsi="Times New Roman" w:cs="Times New Roman"/>
          <w:sz w:val="24"/>
          <w:szCs w:val="24"/>
          <w:lang w:val="bg-BG"/>
        </w:rPr>
        <w:t xml:space="preserve"> през свободното време</w:t>
      </w:r>
      <w:r w:rsidRPr="00A24CF3">
        <w:rPr>
          <w:rFonts w:ascii="Times New Roman" w:hAnsi="Times New Roman" w:cs="Times New Roman"/>
          <w:sz w:val="24"/>
          <w:szCs w:val="24"/>
          <w:lang w:val="ru-RU"/>
        </w:rPr>
        <w:t xml:space="preserve"> и</w:t>
      </w:r>
      <w:r w:rsidRPr="00A24CF3">
        <w:rPr>
          <w:rFonts w:ascii="Times New Roman" w:hAnsi="Times New Roman" w:cs="Times New Roman"/>
          <w:sz w:val="24"/>
          <w:szCs w:val="24"/>
          <w:lang w:val="bg-BG"/>
        </w:rPr>
        <w:t xml:space="preserve"> през</w:t>
      </w:r>
      <w:r w:rsidRPr="00A24CF3">
        <w:rPr>
          <w:rFonts w:ascii="Times New Roman" w:hAnsi="Times New Roman" w:cs="Times New Roman"/>
          <w:sz w:val="24"/>
          <w:szCs w:val="24"/>
          <w:lang w:val="ru-RU"/>
        </w:rPr>
        <w:t xml:space="preserve"> 2017 г.</w:t>
      </w:r>
    </w:p>
    <w:p w:rsidR="008B2893" w:rsidRPr="00A24CF3" w:rsidRDefault="008B2893" w:rsidP="00A24CF3">
      <w:pPr>
        <w:spacing w:line="240" w:lineRule="auto"/>
        <w:contextualSpacing/>
        <w:jc w:val="both"/>
        <w:rPr>
          <w:rFonts w:ascii="Times New Roman" w:hAnsi="Times New Roman" w:cs="Times New Roman"/>
          <w:sz w:val="24"/>
          <w:szCs w:val="24"/>
          <w:lang w:val="ru-RU"/>
        </w:rPr>
      </w:pPr>
      <w:r w:rsidRPr="00A24CF3">
        <w:rPr>
          <w:rFonts w:ascii="Times New Roman" w:hAnsi="Times New Roman" w:cs="Times New Roman"/>
          <w:sz w:val="24"/>
          <w:szCs w:val="24"/>
          <w:lang w:val="bg-BG"/>
        </w:rPr>
        <w:t>Читалищата на територията на общи</w:t>
      </w:r>
      <w:r w:rsidR="00E03162">
        <w:rPr>
          <w:rFonts w:ascii="Times New Roman" w:hAnsi="Times New Roman" w:cs="Times New Roman"/>
          <w:sz w:val="24"/>
          <w:szCs w:val="24"/>
          <w:lang w:val="bg-BG"/>
        </w:rPr>
        <w:t>ната, като средища на културата</w:t>
      </w:r>
      <w:r w:rsidRPr="00A24CF3">
        <w:rPr>
          <w:rFonts w:ascii="Times New Roman" w:hAnsi="Times New Roman" w:cs="Times New Roman"/>
          <w:sz w:val="24"/>
          <w:szCs w:val="24"/>
          <w:lang w:val="bg-BG"/>
        </w:rPr>
        <w:t xml:space="preserve"> дават възможност на своите посетители да бъдат в крак с времето, превръщайки читалището в център за социални контакти, информираност и пълноценно осмисляне на свободното време. Изучават се традициите и обичаите на района. Към читалищата функционират танцови състави, певчески групи, </w:t>
      </w:r>
      <w:proofErr w:type="spellStart"/>
      <w:r w:rsidRPr="00A24CF3">
        <w:rPr>
          <w:rFonts w:ascii="Times New Roman" w:hAnsi="Times New Roman" w:cs="Times New Roman"/>
          <w:sz w:val="24"/>
          <w:szCs w:val="24"/>
          <w:lang w:val="bg-BG"/>
        </w:rPr>
        <w:t>мажоретна</w:t>
      </w:r>
      <w:proofErr w:type="spellEnd"/>
      <w:r w:rsidRPr="00A24CF3">
        <w:rPr>
          <w:rFonts w:ascii="Times New Roman" w:hAnsi="Times New Roman" w:cs="Times New Roman"/>
          <w:sz w:val="24"/>
          <w:szCs w:val="24"/>
          <w:lang w:val="bg-BG"/>
        </w:rPr>
        <w:t xml:space="preserve"> група и др.</w:t>
      </w:r>
    </w:p>
    <w:p w:rsidR="008B2893" w:rsidRPr="008B2893" w:rsidRDefault="008B2893" w:rsidP="00A24CF3">
      <w:pPr>
        <w:pStyle w:val="ListParagraph"/>
        <w:spacing w:line="240" w:lineRule="auto"/>
        <w:ind w:left="0"/>
        <w:jc w:val="both"/>
        <w:rPr>
          <w:rFonts w:ascii="Times New Roman" w:hAnsi="Times New Roman" w:cs="Times New Roman"/>
          <w:sz w:val="24"/>
          <w:szCs w:val="24"/>
        </w:rPr>
      </w:pPr>
      <w:r w:rsidRPr="008B2893">
        <w:rPr>
          <w:rFonts w:ascii="Times New Roman" w:hAnsi="Times New Roman" w:cs="Times New Roman"/>
          <w:sz w:val="24"/>
          <w:szCs w:val="24"/>
          <w:lang w:val="bg-BG"/>
        </w:rPr>
        <w:t>Читалищата в Община Летница работят със всички слоеве и групи от населението, независимо от възраст, пол, политически и религиозни възгледи и етническо самосъзнание.</w:t>
      </w:r>
    </w:p>
    <w:p w:rsidR="008B2893" w:rsidRPr="00A24CF3" w:rsidRDefault="008B2893" w:rsidP="00A24CF3">
      <w:pPr>
        <w:spacing w:line="240" w:lineRule="auto"/>
        <w:contextualSpacing/>
        <w:jc w:val="both"/>
        <w:rPr>
          <w:rFonts w:ascii="Times New Roman" w:hAnsi="Times New Roman" w:cs="Times New Roman"/>
          <w:sz w:val="24"/>
          <w:szCs w:val="24"/>
          <w:lang w:val="bg-BG"/>
        </w:rPr>
      </w:pPr>
      <w:r w:rsidRPr="00A24CF3">
        <w:rPr>
          <w:rFonts w:ascii="Times New Roman" w:hAnsi="Times New Roman" w:cs="Times New Roman"/>
          <w:sz w:val="24"/>
          <w:szCs w:val="24"/>
          <w:lang w:val="bg-BG"/>
        </w:rPr>
        <w:t>Трудности при изпълнението на мерките и дейностите от плана няма. Общината работи много добре в партньорство с:</w:t>
      </w:r>
    </w:p>
    <w:p w:rsidR="008B2893" w:rsidRPr="008B2893" w:rsidRDefault="008B2893" w:rsidP="004C1FE0">
      <w:pPr>
        <w:pStyle w:val="ListParagraph"/>
        <w:numPr>
          <w:ilvl w:val="0"/>
          <w:numId w:val="3"/>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Дирекция</w:t>
      </w:r>
      <w:r w:rsidRPr="008B2893">
        <w:rPr>
          <w:rFonts w:ascii="Times New Roman" w:hAnsi="Times New Roman" w:cs="Times New Roman"/>
          <w:sz w:val="24"/>
          <w:szCs w:val="24"/>
        </w:rPr>
        <w:t xml:space="preserve"> „</w:t>
      </w:r>
      <w:proofErr w:type="spellStart"/>
      <w:r w:rsidRPr="008B2893">
        <w:rPr>
          <w:rFonts w:ascii="Times New Roman" w:hAnsi="Times New Roman" w:cs="Times New Roman"/>
          <w:sz w:val="24"/>
          <w:szCs w:val="24"/>
        </w:rPr>
        <w:t>Социално</w:t>
      </w:r>
      <w:proofErr w:type="spellEnd"/>
      <w:r w:rsidRPr="008B2893">
        <w:rPr>
          <w:rFonts w:ascii="Times New Roman" w:hAnsi="Times New Roman" w:cs="Times New Roman"/>
          <w:sz w:val="24"/>
          <w:szCs w:val="24"/>
          <w:lang w:val="bg-BG"/>
        </w:rPr>
        <w:t xml:space="preserve"> подпомагане</w:t>
      </w:r>
      <w:r w:rsidRPr="008B2893">
        <w:rPr>
          <w:rFonts w:ascii="Times New Roman" w:hAnsi="Times New Roman" w:cs="Times New Roman"/>
          <w:sz w:val="24"/>
          <w:szCs w:val="24"/>
        </w:rPr>
        <w:t>“</w:t>
      </w:r>
      <w:r w:rsidRPr="008B2893">
        <w:rPr>
          <w:rFonts w:ascii="Times New Roman" w:hAnsi="Times New Roman" w:cs="Times New Roman"/>
          <w:sz w:val="24"/>
          <w:szCs w:val="24"/>
          <w:lang w:val="bg-BG"/>
        </w:rPr>
        <w:t xml:space="preserve"> гр.Ловеч</w:t>
      </w:r>
      <w:r w:rsidRPr="008B2893">
        <w:rPr>
          <w:rFonts w:ascii="Times New Roman" w:hAnsi="Times New Roman" w:cs="Times New Roman"/>
          <w:sz w:val="24"/>
          <w:szCs w:val="24"/>
        </w:rPr>
        <w:t>;</w:t>
      </w:r>
    </w:p>
    <w:p w:rsidR="008B2893" w:rsidRPr="008B2893" w:rsidRDefault="008B2893" w:rsidP="004C1FE0">
      <w:pPr>
        <w:pStyle w:val="ListParagraph"/>
        <w:numPr>
          <w:ilvl w:val="0"/>
          <w:numId w:val="3"/>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Регионална Дирекция</w:t>
      </w:r>
      <w:r w:rsidRPr="008B2893">
        <w:rPr>
          <w:rFonts w:ascii="Times New Roman" w:hAnsi="Times New Roman" w:cs="Times New Roman"/>
          <w:sz w:val="24"/>
          <w:szCs w:val="24"/>
        </w:rPr>
        <w:t xml:space="preserve"> „</w:t>
      </w:r>
      <w:proofErr w:type="spellStart"/>
      <w:r w:rsidRPr="008B2893">
        <w:rPr>
          <w:rFonts w:ascii="Times New Roman" w:hAnsi="Times New Roman" w:cs="Times New Roman"/>
          <w:sz w:val="24"/>
          <w:szCs w:val="24"/>
        </w:rPr>
        <w:t>Социално</w:t>
      </w:r>
      <w:proofErr w:type="spellEnd"/>
      <w:r w:rsidRPr="008B2893">
        <w:rPr>
          <w:rFonts w:ascii="Times New Roman" w:hAnsi="Times New Roman" w:cs="Times New Roman"/>
          <w:sz w:val="24"/>
          <w:szCs w:val="24"/>
          <w:lang w:val="bg-BG"/>
        </w:rPr>
        <w:t xml:space="preserve"> подпомагане</w:t>
      </w:r>
      <w:r w:rsidRPr="008B2893">
        <w:rPr>
          <w:rFonts w:ascii="Times New Roman" w:hAnsi="Times New Roman" w:cs="Times New Roman"/>
          <w:sz w:val="24"/>
          <w:szCs w:val="24"/>
        </w:rPr>
        <w:t>“</w:t>
      </w:r>
      <w:r w:rsidRPr="008B2893">
        <w:rPr>
          <w:rFonts w:ascii="Times New Roman" w:hAnsi="Times New Roman" w:cs="Times New Roman"/>
          <w:sz w:val="24"/>
          <w:szCs w:val="24"/>
          <w:lang w:val="bg-BG"/>
        </w:rPr>
        <w:t xml:space="preserve"> гр.Ловеч</w:t>
      </w:r>
      <w:r w:rsidRPr="008B2893">
        <w:rPr>
          <w:rFonts w:ascii="Times New Roman" w:hAnsi="Times New Roman" w:cs="Times New Roman"/>
          <w:sz w:val="24"/>
          <w:szCs w:val="24"/>
        </w:rPr>
        <w:t>;</w:t>
      </w:r>
    </w:p>
    <w:p w:rsidR="008B2893" w:rsidRPr="008B2893" w:rsidRDefault="008B2893" w:rsidP="004C1FE0">
      <w:pPr>
        <w:pStyle w:val="ListParagraph"/>
        <w:numPr>
          <w:ilvl w:val="0"/>
          <w:numId w:val="3"/>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Дирекция</w:t>
      </w:r>
      <w:r w:rsidRPr="008B2893">
        <w:rPr>
          <w:rFonts w:ascii="Times New Roman" w:hAnsi="Times New Roman" w:cs="Times New Roman"/>
          <w:sz w:val="24"/>
          <w:szCs w:val="24"/>
        </w:rPr>
        <w:t xml:space="preserve"> </w:t>
      </w:r>
      <w:r w:rsidRPr="008B2893">
        <w:rPr>
          <w:rFonts w:ascii="Times New Roman" w:hAnsi="Times New Roman" w:cs="Times New Roman"/>
          <w:sz w:val="24"/>
          <w:szCs w:val="24"/>
          <w:lang w:val="bg-BG"/>
        </w:rPr>
        <w:t>„Бюро</w:t>
      </w:r>
      <w:r w:rsidRPr="008B2893">
        <w:rPr>
          <w:rFonts w:ascii="Times New Roman" w:hAnsi="Times New Roman" w:cs="Times New Roman"/>
          <w:sz w:val="24"/>
          <w:szCs w:val="24"/>
        </w:rPr>
        <w:t xml:space="preserve"> </w:t>
      </w:r>
      <w:proofErr w:type="spellStart"/>
      <w:r w:rsidRPr="008B2893">
        <w:rPr>
          <w:rFonts w:ascii="Times New Roman" w:hAnsi="Times New Roman" w:cs="Times New Roman"/>
          <w:sz w:val="24"/>
          <w:szCs w:val="24"/>
        </w:rPr>
        <w:t>по</w:t>
      </w:r>
      <w:proofErr w:type="spellEnd"/>
      <w:r w:rsidRPr="008B2893">
        <w:rPr>
          <w:rFonts w:ascii="Times New Roman" w:hAnsi="Times New Roman" w:cs="Times New Roman"/>
          <w:sz w:val="24"/>
          <w:szCs w:val="24"/>
          <w:lang w:val="bg-BG"/>
        </w:rPr>
        <w:t xml:space="preserve"> труда</w:t>
      </w:r>
      <w:r w:rsidRPr="008B2893">
        <w:rPr>
          <w:rFonts w:ascii="Times New Roman" w:hAnsi="Times New Roman" w:cs="Times New Roman"/>
          <w:sz w:val="24"/>
          <w:szCs w:val="24"/>
        </w:rPr>
        <w:t xml:space="preserve">“ </w:t>
      </w:r>
      <w:proofErr w:type="spellStart"/>
      <w:r w:rsidRPr="008B2893">
        <w:rPr>
          <w:rFonts w:ascii="Times New Roman" w:hAnsi="Times New Roman" w:cs="Times New Roman"/>
          <w:sz w:val="24"/>
          <w:szCs w:val="24"/>
        </w:rPr>
        <w:t>гр</w:t>
      </w:r>
      <w:proofErr w:type="spellEnd"/>
      <w:r w:rsidRPr="008B2893">
        <w:rPr>
          <w:rFonts w:ascii="Times New Roman" w:hAnsi="Times New Roman" w:cs="Times New Roman"/>
          <w:sz w:val="24"/>
          <w:szCs w:val="24"/>
        </w:rPr>
        <w:t xml:space="preserve">. </w:t>
      </w:r>
      <w:proofErr w:type="spellStart"/>
      <w:r w:rsidRPr="008B2893">
        <w:rPr>
          <w:rFonts w:ascii="Times New Roman" w:hAnsi="Times New Roman" w:cs="Times New Roman"/>
          <w:sz w:val="24"/>
          <w:szCs w:val="24"/>
        </w:rPr>
        <w:t>Ловеч</w:t>
      </w:r>
      <w:proofErr w:type="spellEnd"/>
      <w:r w:rsidRPr="008B2893">
        <w:rPr>
          <w:rFonts w:ascii="Times New Roman" w:hAnsi="Times New Roman" w:cs="Times New Roman"/>
          <w:sz w:val="24"/>
          <w:szCs w:val="24"/>
        </w:rPr>
        <w:t>;</w:t>
      </w:r>
    </w:p>
    <w:p w:rsidR="008B2893" w:rsidRPr="008B2893" w:rsidRDefault="008B2893" w:rsidP="004C1FE0">
      <w:pPr>
        <w:pStyle w:val="ListParagraph"/>
        <w:numPr>
          <w:ilvl w:val="0"/>
          <w:numId w:val="3"/>
        </w:numPr>
        <w:spacing w:line="240" w:lineRule="auto"/>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Представители</w:t>
      </w:r>
      <w:r w:rsidRPr="008B2893">
        <w:rPr>
          <w:rFonts w:ascii="Times New Roman" w:hAnsi="Times New Roman" w:cs="Times New Roman"/>
          <w:sz w:val="24"/>
          <w:szCs w:val="24"/>
        </w:rPr>
        <w:t xml:space="preserve"> </w:t>
      </w:r>
      <w:proofErr w:type="spellStart"/>
      <w:r w:rsidRPr="008B2893">
        <w:rPr>
          <w:rFonts w:ascii="Times New Roman" w:hAnsi="Times New Roman" w:cs="Times New Roman"/>
          <w:sz w:val="24"/>
          <w:szCs w:val="24"/>
        </w:rPr>
        <w:t>на</w:t>
      </w:r>
      <w:proofErr w:type="spellEnd"/>
      <w:r w:rsidRPr="008B2893">
        <w:rPr>
          <w:rFonts w:ascii="Times New Roman" w:hAnsi="Times New Roman" w:cs="Times New Roman"/>
          <w:sz w:val="24"/>
          <w:szCs w:val="24"/>
          <w:lang w:val="bg-BG"/>
        </w:rPr>
        <w:t xml:space="preserve"> ромската</w:t>
      </w:r>
      <w:r w:rsidRPr="008B2893">
        <w:rPr>
          <w:rFonts w:ascii="Times New Roman" w:hAnsi="Times New Roman" w:cs="Times New Roman"/>
          <w:sz w:val="24"/>
          <w:szCs w:val="24"/>
        </w:rPr>
        <w:t xml:space="preserve"> и</w:t>
      </w:r>
      <w:r w:rsidRPr="008B2893">
        <w:rPr>
          <w:rFonts w:ascii="Times New Roman" w:hAnsi="Times New Roman" w:cs="Times New Roman"/>
          <w:sz w:val="24"/>
          <w:szCs w:val="24"/>
          <w:lang w:val="bg-BG"/>
        </w:rPr>
        <w:t xml:space="preserve"> влашката общност</w:t>
      </w:r>
      <w:r w:rsidRPr="008B2893">
        <w:rPr>
          <w:rFonts w:ascii="Times New Roman" w:hAnsi="Times New Roman" w:cs="Times New Roman"/>
          <w:sz w:val="24"/>
          <w:szCs w:val="24"/>
        </w:rPr>
        <w:t>;</w:t>
      </w:r>
    </w:p>
    <w:p w:rsidR="008B2893" w:rsidRPr="008B2893" w:rsidRDefault="008B2893" w:rsidP="004C1FE0">
      <w:pPr>
        <w:pStyle w:val="ListParagraph"/>
        <w:numPr>
          <w:ilvl w:val="0"/>
          <w:numId w:val="3"/>
        </w:numPr>
        <w:spacing w:line="240" w:lineRule="auto"/>
        <w:jc w:val="both"/>
        <w:rPr>
          <w:rFonts w:ascii="Times New Roman" w:hAnsi="Times New Roman" w:cs="Times New Roman"/>
          <w:sz w:val="24"/>
          <w:szCs w:val="24"/>
        </w:rPr>
      </w:pPr>
      <w:r w:rsidRPr="008B2893">
        <w:rPr>
          <w:rFonts w:ascii="Times New Roman" w:hAnsi="Times New Roman" w:cs="Times New Roman"/>
          <w:sz w:val="24"/>
          <w:szCs w:val="24"/>
          <w:lang w:val="bg-BG"/>
        </w:rPr>
        <w:t>Лични лекари</w:t>
      </w:r>
      <w:r w:rsidRPr="008B2893">
        <w:rPr>
          <w:rFonts w:ascii="Times New Roman" w:hAnsi="Times New Roman" w:cs="Times New Roman"/>
          <w:sz w:val="24"/>
          <w:szCs w:val="24"/>
        </w:rPr>
        <w:t>;</w:t>
      </w:r>
    </w:p>
    <w:p w:rsidR="008B2893" w:rsidRPr="008B2893" w:rsidRDefault="008B2893" w:rsidP="004C1FE0">
      <w:pPr>
        <w:pStyle w:val="ListParagraph"/>
        <w:numPr>
          <w:ilvl w:val="0"/>
          <w:numId w:val="3"/>
        </w:numPr>
        <w:spacing w:line="240" w:lineRule="auto"/>
        <w:jc w:val="both"/>
        <w:rPr>
          <w:rFonts w:ascii="Times New Roman" w:hAnsi="Times New Roman" w:cs="Times New Roman"/>
          <w:sz w:val="24"/>
          <w:szCs w:val="24"/>
        </w:rPr>
      </w:pPr>
      <w:r w:rsidRPr="008B2893">
        <w:rPr>
          <w:rFonts w:ascii="Times New Roman" w:hAnsi="Times New Roman" w:cs="Times New Roman"/>
          <w:sz w:val="24"/>
          <w:szCs w:val="24"/>
        </w:rPr>
        <w:t>Д</w:t>
      </w:r>
      <w:r w:rsidRPr="008B2893">
        <w:rPr>
          <w:rFonts w:ascii="Times New Roman" w:hAnsi="Times New Roman" w:cs="Times New Roman"/>
          <w:sz w:val="24"/>
          <w:szCs w:val="24"/>
          <w:lang w:val="bg-BG"/>
        </w:rPr>
        <w:t>Г</w:t>
      </w:r>
      <w:r w:rsidRPr="008B2893">
        <w:rPr>
          <w:rFonts w:ascii="Times New Roman" w:hAnsi="Times New Roman" w:cs="Times New Roman"/>
          <w:sz w:val="24"/>
          <w:szCs w:val="24"/>
        </w:rPr>
        <w:t xml:space="preserve"> </w:t>
      </w:r>
      <w:r w:rsidRPr="008B2893">
        <w:rPr>
          <w:rFonts w:ascii="Times New Roman" w:hAnsi="Times New Roman" w:cs="Times New Roman"/>
          <w:sz w:val="24"/>
          <w:szCs w:val="24"/>
          <w:lang w:val="bg-BG"/>
        </w:rPr>
        <w:t>„Ирина Бачо Киро</w:t>
      </w:r>
      <w:r w:rsidRPr="008B2893">
        <w:rPr>
          <w:rFonts w:ascii="Times New Roman" w:hAnsi="Times New Roman" w:cs="Times New Roman"/>
          <w:sz w:val="24"/>
          <w:szCs w:val="24"/>
        </w:rPr>
        <w:t>“</w:t>
      </w:r>
      <w:r w:rsidRPr="008B2893">
        <w:rPr>
          <w:rFonts w:ascii="Times New Roman" w:hAnsi="Times New Roman" w:cs="Times New Roman"/>
          <w:sz w:val="24"/>
          <w:szCs w:val="24"/>
          <w:lang w:val="bg-BG"/>
        </w:rPr>
        <w:t xml:space="preserve"> гр.Летница</w:t>
      </w:r>
      <w:r w:rsidRPr="008B2893">
        <w:rPr>
          <w:rFonts w:ascii="Times New Roman" w:hAnsi="Times New Roman" w:cs="Times New Roman"/>
          <w:sz w:val="24"/>
          <w:szCs w:val="24"/>
        </w:rPr>
        <w:t>;</w:t>
      </w:r>
    </w:p>
    <w:p w:rsidR="008B2893" w:rsidRPr="008B2893" w:rsidRDefault="008B2893" w:rsidP="004C1FE0">
      <w:pPr>
        <w:pStyle w:val="ListParagraph"/>
        <w:numPr>
          <w:ilvl w:val="0"/>
          <w:numId w:val="3"/>
        </w:numPr>
        <w:spacing w:line="240" w:lineRule="auto"/>
        <w:jc w:val="both"/>
        <w:rPr>
          <w:rFonts w:ascii="Times New Roman" w:hAnsi="Times New Roman" w:cs="Times New Roman"/>
          <w:sz w:val="24"/>
          <w:szCs w:val="24"/>
        </w:rPr>
      </w:pPr>
      <w:r w:rsidRPr="008B2893">
        <w:rPr>
          <w:rFonts w:ascii="Times New Roman" w:hAnsi="Times New Roman" w:cs="Times New Roman"/>
          <w:sz w:val="24"/>
          <w:szCs w:val="24"/>
        </w:rPr>
        <w:t xml:space="preserve">СУ </w:t>
      </w:r>
      <w:r w:rsidRPr="008B2893">
        <w:rPr>
          <w:rFonts w:ascii="Times New Roman" w:hAnsi="Times New Roman" w:cs="Times New Roman"/>
          <w:sz w:val="24"/>
          <w:szCs w:val="24"/>
          <w:lang w:val="bg-BG"/>
        </w:rPr>
        <w:t>„Бачо Киро</w:t>
      </w:r>
      <w:proofErr w:type="gramStart"/>
      <w:r w:rsidRPr="008B2893">
        <w:rPr>
          <w:rFonts w:ascii="Times New Roman" w:hAnsi="Times New Roman" w:cs="Times New Roman"/>
          <w:sz w:val="24"/>
          <w:szCs w:val="24"/>
        </w:rPr>
        <w:t>“</w:t>
      </w:r>
      <w:r w:rsidRPr="008B2893">
        <w:rPr>
          <w:rFonts w:ascii="Times New Roman" w:hAnsi="Times New Roman" w:cs="Times New Roman"/>
          <w:sz w:val="24"/>
          <w:szCs w:val="24"/>
          <w:lang w:val="bg-BG"/>
        </w:rPr>
        <w:t xml:space="preserve"> гр</w:t>
      </w:r>
      <w:proofErr w:type="gramEnd"/>
      <w:r w:rsidRPr="008B2893">
        <w:rPr>
          <w:rFonts w:ascii="Times New Roman" w:hAnsi="Times New Roman" w:cs="Times New Roman"/>
          <w:sz w:val="24"/>
          <w:szCs w:val="24"/>
          <w:lang w:val="bg-BG"/>
        </w:rPr>
        <w:t>. Летница.</w:t>
      </w:r>
    </w:p>
    <w:p w:rsidR="008B2893" w:rsidRPr="00A24CF3" w:rsidRDefault="008B2893" w:rsidP="00A24CF3">
      <w:pPr>
        <w:spacing w:line="240" w:lineRule="auto"/>
        <w:contextualSpacing/>
        <w:jc w:val="both"/>
        <w:rPr>
          <w:rFonts w:ascii="Times New Roman" w:hAnsi="Times New Roman" w:cs="Times New Roman"/>
          <w:sz w:val="24"/>
          <w:szCs w:val="24"/>
        </w:rPr>
      </w:pPr>
      <w:r w:rsidRPr="00A24CF3">
        <w:rPr>
          <w:rFonts w:ascii="Times New Roman" w:hAnsi="Times New Roman" w:cs="Times New Roman"/>
          <w:sz w:val="24"/>
          <w:szCs w:val="24"/>
          <w:lang w:val="bg-BG"/>
        </w:rPr>
        <w:t>В Общинска администрация – гр.</w:t>
      </w:r>
      <w:r w:rsidR="00E03162">
        <w:rPr>
          <w:rFonts w:ascii="Times New Roman" w:hAnsi="Times New Roman" w:cs="Times New Roman"/>
          <w:sz w:val="24"/>
          <w:szCs w:val="24"/>
          <w:lang w:val="bg-BG"/>
        </w:rPr>
        <w:t xml:space="preserve"> </w:t>
      </w:r>
      <w:r w:rsidRPr="00A24CF3">
        <w:rPr>
          <w:rFonts w:ascii="Times New Roman" w:hAnsi="Times New Roman" w:cs="Times New Roman"/>
          <w:sz w:val="24"/>
          <w:szCs w:val="24"/>
          <w:lang w:val="bg-BG"/>
        </w:rPr>
        <w:t>Летница, Община Летница има назначен 1 експерт по етнически и интеграционни въпроси:</w:t>
      </w:r>
    </w:p>
    <w:p w:rsidR="008B2893" w:rsidRDefault="008B2893" w:rsidP="00A24CF3">
      <w:pPr>
        <w:pStyle w:val="ListParagraph"/>
        <w:spacing w:line="240" w:lineRule="auto"/>
        <w:ind w:left="0"/>
        <w:jc w:val="both"/>
        <w:rPr>
          <w:rFonts w:ascii="Times New Roman" w:hAnsi="Times New Roman" w:cs="Times New Roman"/>
          <w:sz w:val="24"/>
          <w:szCs w:val="24"/>
          <w:lang w:val="bg-BG"/>
        </w:rPr>
      </w:pPr>
      <w:r w:rsidRPr="008B2893">
        <w:rPr>
          <w:rFonts w:ascii="Times New Roman" w:hAnsi="Times New Roman" w:cs="Times New Roman"/>
          <w:sz w:val="24"/>
          <w:szCs w:val="24"/>
          <w:lang w:val="bg-BG"/>
        </w:rPr>
        <w:t>Мл.експерт „Етнически въпроси“ – Иванка Стоянова.</w:t>
      </w:r>
    </w:p>
    <w:p w:rsidR="00A24CF3" w:rsidRPr="00A24CF3" w:rsidRDefault="00A24CF3" w:rsidP="00A24CF3">
      <w:pPr>
        <w:pStyle w:val="ListParagraph"/>
        <w:spacing w:line="240" w:lineRule="auto"/>
        <w:ind w:left="0"/>
        <w:jc w:val="both"/>
        <w:rPr>
          <w:rFonts w:ascii="Times New Roman" w:hAnsi="Times New Roman" w:cs="Times New Roman"/>
          <w:sz w:val="28"/>
          <w:szCs w:val="28"/>
          <w:lang w:val="bg-BG"/>
        </w:rPr>
      </w:pPr>
    </w:p>
    <w:p w:rsidR="00A24CF3" w:rsidRDefault="00A24CF3" w:rsidP="00A24CF3">
      <w:pPr>
        <w:pStyle w:val="ListParagraph"/>
        <w:spacing w:line="240" w:lineRule="auto"/>
        <w:ind w:left="0"/>
        <w:jc w:val="both"/>
        <w:rPr>
          <w:rFonts w:ascii="Times New Roman" w:hAnsi="Times New Roman" w:cs="Times New Roman"/>
          <w:sz w:val="28"/>
          <w:szCs w:val="28"/>
          <w:lang w:val="bg-BG"/>
        </w:rPr>
      </w:pPr>
      <w:r w:rsidRPr="00A24CF3">
        <w:rPr>
          <w:rFonts w:ascii="Times New Roman" w:hAnsi="Times New Roman" w:cs="Times New Roman"/>
          <w:sz w:val="28"/>
          <w:szCs w:val="28"/>
          <w:lang w:val="bg-BG"/>
        </w:rPr>
        <w:t>Община Ловеч</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Общинският план за интегриране на ромите в община Ловеч е неразделна част от Областната стратегия на област Ловеч в изпълнение на Националната стратегия на Република България за интегриране на ромите 2012 -2020 г. Изпълнението на Плана има за цел включването им във всички форми на обществения, икономическия, културния живот на община Ловеч. Общинският план за интегриране на ромите в община Ловеч акцентира на интеграционните социални, здравни, образователни, културни и други мерки, като основна цел е ангажирането на съществуващите образователни, социални, законови и управленски структури.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Относно изпълнението на конкретни мерки и дейности по приоритетите на плана за действие за интегриране на ромите за 2017 г. Община Ловеч активно работи при осъществяване на дейностите по Механизма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създаден с Решение № 373/05.07.2017 г. на Министерски съвет. За общината са сформирани 4 екипа за обхват за определените 4 района. В екипите участват представители от различни институции, в т. ч. кметове на населени места и представители на общинска администрация, които заедно с директорите на училища и учители от всички училища на територията на общината положиха изключителни усилия за обхождане по настоящ адрес на децата със статус „За обхват“. В дейността си екипите са сериозно подпомагани от експертите в РУО – Ловеч. Характерно за работата на екипите в Община Ловеч е доброто взаимодействие между представителите на общинска администрация, кметовете на населени места, експертите от РУО, училищните директори и учителите, включени в екипите за обхват. По информация от </w:t>
      </w:r>
      <w:proofErr w:type="spellStart"/>
      <w:r w:rsidRPr="00886225">
        <w:rPr>
          <w:rFonts w:ascii="Times New Roman" w:hAnsi="Times New Roman" w:cs="Times New Roman"/>
          <w:sz w:val="24"/>
          <w:szCs w:val="24"/>
          <w:lang w:val="bg-BG"/>
        </w:rPr>
        <w:t>Междуинституционалната</w:t>
      </w:r>
      <w:proofErr w:type="spellEnd"/>
      <w:r w:rsidRPr="00886225">
        <w:rPr>
          <w:rFonts w:ascii="Times New Roman" w:hAnsi="Times New Roman" w:cs="Times New Roman"/>
          <w:sz w:val="24"/>
          <w:szCs w:val="24"/>
          <w:lang w:val="bg-BG"/>
        </w:rPr>
        <w:t xml:space="preserve"> платформа „</w:t>
      </w:r>
      <w:proofErr w:type="spellStart"/>
      <w:r w:rsidRPr="00886225">
        <w:rPr>
          <w:rFonts w:ascii="Times New Roman" w:hAnsi="Times New Roman" w:cs="Times New Roman"/>
          <w:sz w:val="24"/>
          <w:szCs w:val="24"/>
          <w:lang w:val="bg-BG"/>
        </w:rPr>
        <w:t>Посещаемо</w:t>
      </w:r>
      <w:proofErr w:type="spellEnd"/>
      <w:r w:rsidRPr="00886225">
        <w:rPr>
          <w:rFonts w:ascii="Times New Roman" w:hAnsi="Times New Roman" w:cs="Times New Roman"/>
          <w:sz w:val="24"/>
          <w:szCs w:val="24"/>
          <w:lang w:val="bg-BG"/>
        </w:rPr>
        <w:t xml:space="preserve"> и безопасно училище“, 4-те общински екипа са обработили</w:t>
      </w:r>
      <w:r w:rsidRPr="00886225">
        <w:rPr>
          <w:rFonts w:ascii="Times New Roman" w:hAnsi="Times New Roman" w:cs="Times New Roman"/>
          <w:b/>
          <w:sz w:val="24"/>
          <w:szCs w:val="24"/>
          <w:lang w:val="bg-BG"/>
        </w:rPr>
        <w:t xml:space="preserve"> </w:t>
      </w:r>
      <w:r w:rsidRPr="00886225">
        <w:rPr>
          <w:rFonts w:ascii="Times New Roman" w:hAnsi="Times New Roman" w:cs="Times New Roman"/>
          <w:sz w:val="24"/>
          <w:szCs w:val="24"/>
          <w:lang w:val="bg-BG"/>
        </w:rPr>
        <w:t>формуляри за физическо посещение на адрес за 841 деца подлежащи на задължително предучилищно и училищно образование във възраст по дати на раждане от 01.</w:t>
      </w:r>
      <w:proofErr w:type="spellStart"/>
      <w:r w:rsidRPr="00886225">
        <w:rPr>
          <w:rFonts w:ascii="Times New Roman" w:hAnsi="Times New Roman" w:cs="Times New Roman"/>
          <w:sz w:val="24"/>
          <w:szCs w:val="24"/>
          <w:lang w:val="bg-BG"/>
        </w:rPr>
        <w:t>01</w:t>
      </w:r>
      <w:proofErr w:type="spellEnd"/>
      <w:r w:rsidRPr="00886225">
        <w:rPr>
          <w:rFonts w:ascii="Times New Roman" w:hAnsi="Times New Roman" w:cs="Times New Roman"/>
          <w:sz w:val="24"/>
          <w:szCs w:val="24"/>
          <w:lang w:val="bg-BG"/>
        </w:rPr>
        <w:t xml:space="preserve">.2001 г. до 31.12.2012 г., като от тях с актуален статус: „Записан“ са 35 деца, а „В чужбина“ са 566 деца. Информацията в платформата постоянно се обновява. </w:t>
      </w:r>
      <w:proofErr w:type="spellStart"/>
      <w:r w:rsidRPr="00886225">
        <w:rPr>
          <w:rFonts w:ascii="Times New Roman" w:hAnsi="Times New Roman" w:cs="Times New Roman"/>
          <w:sz w:val="24"/>
          <w:szCs w:val="24"/>
          <w:lang w:val="bg-BG"/>
        </w:rPr>
        <w:t>Гореупоменатата</w:t>
      </w:r>
      <w:proofErr w:type="spellEnd"/>
      <w:r w:rsidRPr="00886225">
        <w:rPr>
          <w:rFonts w:ascii="Times New Roman" w:hAnsi="Times New Roman" w:cs="Times New Roman"/>
          <w:sz w:val="24"/>
          <w:szCs w:val="24"/>
          <w:lang w:val="bg-BG"/>
        </w:rPr>
        <w:t xml:space="preserve"> информация се отнася към 12.</w:t>
      </w:r>
      <w:proofErr w:type="spellStart"/>
      <w:r w:rsidRPr="00886225">
        <w:rPr>
          <w:rFonts w:ascii="Times New Roman" w:hAnsi="Times New Roman" w:cs="Times New Roman"/>
          <w:sz w:val="24"/>
          <w:szCs w:val="24"/>
          <w:lang w:val="bg-BG"/>
        </w:rPr>
        <w:t>12</w:t>
      </w:r>
      <w:proofErr w:type="spellEnd"/>
      <w:r w:rsidRPr="00886225">
        <w:rPr>
          <w:rFonts w:ascii="Times New Roman" w:hAnsi="Times New Roman" w:cs="Times New Roman"/>
          <w:sz w:val="24"/>
          <w:szCs w:val="24"/>
          <w:lang w:val="bg-BG"/>
        </w:rPr>
        <w:t>. 2017 г.</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Относно добри практики и други мерки, изпълнявани от Общината и техния принос в подкрепа на интеграционните политики, че от 2013 година Община Ловеч има утвърдена Процедура за налагане на санкции на родители, които не са записали децата си, подлежащи на задължително предучилищно образование и не са  осигурили присъствието на децата си в детска градина или училище. Директорите на детски градини и училища са уведомени с писма за необходимата информация и приложени документи, които е необходимо да представят в община Ловеч. Със заповед на Кмета на Община Ловеч са определени длъжностни лица, които да съставят и връчват актове за установяване на административни нарушения по чл. 347 от ЗПУО. Във връзка с това е намален броят на отпадналите, като съществено е увеличен броят на </w:t>
      </w:r>
      <w:proofErr w:type="spellStart"/>
      <w:r w:rsidRPr="00886225">
        <w:rPr>
          <w:rFonts w:ascii="Times New Roman" w:hAnsi="Times New Roman" w:cs="Times New Roman"/>
          <w:sz w:val="24"/>
          <w:szCs w:val="24"/>
          <w:lang w:val="bg-BG"/>
        </w:rPr>
        <w:t>реинтегрираните</w:t>
      </w:r>
      <w:proofErr w:type="spellEnd"/>
      <w:r w:rsidRPr="00886225">
        <w:rPr>
          <w:rFonts w:ascii="Times New Roman" w:hAnsi="Times New Roman" w:cs="Times New Roman"/>
          <w:sz w:val="24"/>
          <w:szCs w:val="24"/>
          <w:lang w:val="bg-BG"/>
        </w:rPr>
        <w:t xml:space="preserve"> в образователната система. Актове по чл. 347 от ЗПУО не са съставяни, защото децата/учениците са </w:t>
      </w:r>
      <w:proofErr w:type="spellStart"/>
      <w:r w:rsidRPr="00886225">
        <w:rPr>
          <w:rFonts w:ascii="Times New Roman" w:hAnsi="Times New Roman" w:cs="Times New Roman"/>
          <w:sz w:val="24"/>
          <w:szCs w:val="24"/>
          <w:lang w:val="bg-BG"/>
        </w:rPr>
        <w:t>реинтегрирани</w:t>
      </w:r>
      <w:proofErr w:type="spellEnd"/>
      <w:r w:rsidRPr="00886225">
        <w:rPr>
          <w:rFonts w:ascii="Times New Roman" w:hAnsi="Times New Roman" w:cs="Times New Roman"/>
          <w:sz w:val="24"/>
          <w:szCs w:val="24"/>
          <w:lang w:val="bg-BG"/>
        </w:rPr>
        <w:t xml:space="preserve"> или записани в детска градина/училище.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В Общината също така се поддържа масив (по постоянен и настоящ адрес)  на подлежащите на задължително предучилищно или училищно образование до 16-годишна възраст, който своевременно </w:t>
      </w:r>
      <w:r w:rsidRPr="00886225">
        <w:rPr>
          <w:rFonts w:ascii="Times New Roman" w:hAnsi="Times New Roman" w:cs="Times New Roman"/>
          <w:sz w:val="24"/>
          <w:szCs w:val="24"/>
        </w:rPr>
        <w:t>(</w:t>
      </w:r>
      <w:r w:rsidRPr="00886225">
        <w:rPr>
          <w:rFonts w:ascii="Times New Roman" w:hAnsi="Times New Roman" w:cs="Times New Roman"/>
          <w:sz w:val="24"/>
          <w:szCs w:val="24"/>
          <w:lang w:val="bg-BG"/>
        </w:rPr>
        <w:t>м. февруари и м. октомври) се актуализира с данни от отдел ГРАО. Данните се засичат с Информационната система на образованието - „Регистър за движението на децата и учениците“. Незаписаните деца се издирват, като ежегодно се изпращат писма до родителите/</w:t>
      </w:r>
      <w:proofErr w:type="spellStart"/>
      <w:r w:rsidRPr="00886225">
        <w:rPr>
          <w:rFonts w:ascii="Times New Roman" w:hAnsi="Times New Roman" w:cs="Times New Roman"/>
          <w:sz w:val="24"/>
          <w:szCs w:val="24"/>
          <w:lang w:val="bg-BG"/>
        </w:rPr>
        <w:t>настойниците</w:t>
      </w:r>
      <w:proofErr w:type="spellEnd"/>
      <w:r w:rsidRPr="00886225">
        <w:rPr>
          <w:rFonts w:ascii="Times New Roman" w:hAnsi="Times New Roman" w:cs="Times New Roman"/>
          <w:sz w:val="24"/>
          <w:szCs w:val="24"/>
          <w:lang w:val="bg-BG"/>
        </w:rPr>
        <w:t>, посещават се по адреси и се провеждат срещи с родителите. Активно съдействие оказват кметовете и кметски наместници. По този начин е намален броят на необхванатите в образователната система деца и ученици. Необхванати остават тези деца и ученици, за които липсва актуален постоянен или настоящ адрес и не могат да бъдат открити на адресите по масива на ГРАО.</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През 2017 г. не е работено по проекти съвместно с граждански организации. В целевите групи на ЦОП и ЦРСИ се извършва работа с </w:t>
      </w:r>
      <w:proofErr w:type="spellStart"/>
      <w:r w:rsidRPr="00886225">
        <w:rPr>
          <w:rFonts w:ascii="Times New Roman" w:hAnsi="Times New Roman" w:cs="Times New Roman"/>
          <w:sz w:val="24"/>
          <w:szCs w:val="24"/>
          <w:lang w:val="bg-BG"/>
        </w:rPr>
        <w:t>маргинализирани</w:t>
      </w:r>
      <w:proofErr w:type="spellEnd"/>
      <w:r w:rsidRPr="00886225">
        <w:rPr>
          <w:rFonts w:ascii="Times New Roman" w:hAnsi="Times New Roman" w:cs="Times New Roman"/>
          <w:sz w:val="24"/>
          <w:szCs w:val="24"/>
          <w:lang w:val="bg-BG"/>
        </w:rPr>
        <w:t xml:space="preserve"> лица и социално слаби хора и групи, които не се самоопределят като роми, част от дейността на тези социални услуги. Налице е взаимодействие между общини и НПО, които работят с сферата на интеграцията. Община Ловеч взаимодейства със Сдружение „Граждански инициативи“, „</w:t>
      </w:r>
      <w:proofErr w:type="spellStart"/>
      <w:r w:rsidRPr="00886225">
        <w:rPr>
          <w:rFonts w:ascii="Times New Roman" w:hAnsi="Times New Roman" w:cs="Times New Roman"/>
          <w:sz w:val="24"/>
          <w:szCs w:val="24"/>
          <w:lang w:val="bg-BG"/>
        </w:rPr>
        <w:t>Екомисия</w:t>
      </w:r>
      <w:proofErr w:type="spellEnd"/>
      <w:r w:rsidRPr="00886225">
        <w:rPr>
          <w:rFonts w:ascii="Times New Roman" w:hAnsi="Times New Roman" w:cs="Times New Roman"/>
          <w:sz w:val="24"/>
          <w:szCs w:val="24"/>
          <w:lang w:val="bg-BG"/>
        </w:rPr>
        <w:t xml:space="preserve"> 21 век“, Сдружение „Закрила“, Сдружение „Знание“, Български червен кръст, с които работи в сферата на интеграцията на </w:t>
      </w:r>
      <w:proofErr w:type="spellStart"/>
      <w:r w:rsidRPr="00886225">
        <w:rPr>
          <w:rFonts w:ascii="Times New Roman" w:hAnsi="Times New Roman" w:cs="Times New Roman"/>
          <w:sz w:val="24"/>
          <w:szCs w:val="24"/>
          <w:lang w:val="bg-BG"/>
        </w:rPr>
        <w:t>маргинализирани</w:t>
      </w:r>
      <w:proofErr w:type="spellEnd"/>
      <w:r w:rsidRPr="00886225">
        <w:rPr>
          <w:rFonts w:ascii="Times New Roman" w:hAnsi="Times New Roman" w:cs="Times New Roman"/>
          <w:sz w:val="24"/>
          <w:szCs w:val="24"/>
          <w:lang w:val="bg-BG"/>
        </w:rPr>
        <w:t xml:space="preserve"> лица и социално слаби хора и групи, в рамките на дейностите и инициативите на тези организации. Лицата, с които се работи не се самоопределят като роми. На територията на Община Ловеч съществуват  34 читалища, Духов оркестър и 9 НПО, работещи в сферата на културата. В читалищата на селата Славяни, Слатина, Чавдарци и Дойренци има клубни форми и самодейни колективи, чиито дейности са свързани с културното многообразие и интеграцията на ромската общност. На територията на община Ловеч  работят й 4 културни института Драматичен театър /държавен/, Регионална библиотека “Проф. Б. Цонев”, Регионален исторически музей „Художествена галерия“ /общинска/. За развитие и обогатяване на културния живот в общината допринасят още: Общински духов оркестър „Ловеч“, Клуб на дейците на културата, 6 читалища в гр. Ловеч и 28 читалища в селата. По Програма ”</w:t>
      </w:r>
      <w:proofErr w:type="spellStart"/>
      <w:r w:rsidRPr="00886225">
        <w:rPr>
          <w:rFonts w:ascii="Times New Roman" w:hAnsi="Times New Roman" w:cs="Times New Roman"/>
          <w:sz w:val="24"/>
          <w:szCs w:val="24"/>
          <w:lang w:val="bg-BG"/>
        </w:rPr>
        <w:t>Глоб@лни</w:t>
      </w:r>
      <w:proofErr w:type="spellEnd"/>
      <w:r w:rsidRPr="00886225">
        <w:rPr>
          <w:rFonts w:ascii="Times New Roman" w:hAnsi="Times New Roman" w:cs="Times New Roman"/>
          <w:sz w:val="24"/>
          <w:szCs w:val="24"/>
          <w:lang w:val="bg-BG"/>
        </w:rPr>
        <w:t xml:space="preserve"> библиотеки - България ” са изградени и функционират информационни центрове в читалищата в с. Дойренци, с. Казачево, с. Малиново, с. Славяни, с. Слатина и с. Чавдарци.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В НЧ „Просвета - 1906 г."- Дойренци базови познания за работа с компютър, ползване на социални мрежи (</w:t>
      </w:r>
      <w:proofErr w:type="spellStart"/>
      <w:r w:rsidRPr="00886225">
        <w:rPr>
          <w:rFonts w:ascii="Times New Roman" w:hAnsi="Times New Roman" w:cs="Times New Roman"/>
          <w:sz w:val="24"/>
          <w:szCs w:val="24"/>
          <w:lang w:val="bg-BG"/>
        </w:rPr>
        <w:t>Facebook</w:t>
      </w:r>
      <w:proofErr w:type="spellEnd"/>
      <w:r w:rsidRPr="00886225">
        <w:rPr>
          <w:rFonts w:ascii="Times New Roman" w:hAnsi="Times New Roman" w:cs="Times New Roman"/>
          <w:sz w:val="24"/>
          <w:szCs w:val="24"/>
          <w:lang w:val="bg-BG"/>
        </w:rPr>
        <w:t>),</w:t>
      </w:r>
      <w:r w:rsidR="00E03162">
        <w:rPr>
          <w:rFonts w:ascii="Times New Roman" w:hAnsi="Times New Roman" w:cs="Times New Roman"/>
          <w:sz w:val="24"/>
          <w:szCs w:val="24"/>
          <w:lang w:val="bg-BG"/>
        </w:rPr>
        <w:t xml:space="preserve"> </w:t>
      </w:r>
      <w:r w:rsidRPr="00886225">
        <w:rPr>
          <w:rFonts w:ascii="Times New Roman" w:hAnsi="Times New Roman" w:cs="Times New Roman"/>
          <w:sz w:val="24"/>
          <w:szCs w:val="24"/>
          <w:lang w:val="bg-BG"/>
        </w:rPr>
        <w:t xml:space="preserve">електронна поща и търсене на информация в интернет се предоставят на 1 дете от ромски произход до 14 години, 2 лица до 18 години и 3 лица над 18 години.  В НЧ „Напредък -1928 г." - с. Казачево интернет и библиотечни услуги са ползват от 4 деца от ромски произход на възраст до 14 години, 8 деца от ромски произход на възраст от 14 </w:t>
      </w:r>
      <w:r w:rsidRPr="00886225">
        <w:rPr>
          <w:rFonts w:ascii="Times New Roman" w:hAnsi="Times New Roman" w:cs="Times New Roman"/>
          <w:sz w:val="24"/>
          <w:szCs w:val="24"/>
        </w:rPr>
        <w:t xml:space="preserve"> </w:t>
      </w:r>
      <w:r w:rsidRPr="00886225">
        <w:rPr>
          <w:rFonts w:ascii="Times New Roman" w:hAnsi="Times New Roman" w:cs="Times New Roman"/>
          <w:sz w:val="24"/>
          <w:szCs w:val="24"/>
          <w:lang w:val="bg-BG"/>
        </w:rPr>
        <w:t xml:space="preserve">до 18 години и 12 лица над 18 години.  В НЧ „Просвета - 1901 г.”- с. Слатина интернет и библиотечни услуги се предоставят на 11 деца от ромски произход на възраст до 14 години, 8 деца от ромски произход на възраст от 14 до 18 години и 15 лица над 18 години. През 2016 г. в НЧ „Христо Ботев - 1930 г.” - с. Славяни интернет и библиотечни услуги ползват 21 деца от ромски произход  до 14 години, 5 лица на възраст от 14 до 18 години и 4 лица над 18 години. Читалищата в с. Чавдарци и с. Малиново не работят с деца от ромски произход. Децата от тези населени места не се самоопределят като такива. В НЧ „Напредък-1920 г“- с. Баховица е продължена е дейността по спечеления проект „Заедно срещу самотата“ през 2015 г. от НЧ „Напредък-1920 г.“  По него са събрани, обработени, научени, показани пред публика фолклор от населеното място и е издадена книга с това. Тематичният приоритет е насочен към националните малцинства, компактно живеещи на територията на населеното място и района. 4 деца от ромски произход  до 14 години се занимават с танци; 1 лице от ромски произход над 18 години се включва в различни дейности и  е в настоятелството на читалището. В НЧ „Христо Ботев-1930 г.“- с. Славяни, 10 деца до 7 години участват в Седмица на детската книга, заедно с българските деца посещаващи ДГ, великденски тържества, Международния ден на детето и др.  11 деца до 14 години  ползват интернет в библиотеката, участват в забавните игри, организирани съвместно с Регионалната библиотека; 5 деца до 18 години участват при възстановяване на  надписите на мемориала пред читалището; 4 лица над 18 години са музиканти-самодейци и участват в мероприятията на читалището (обичай </w:t>
      </w:r>
      <w:proofErr w:type="spellStart"/>
      <w:r w:rsidRPr="00886225">
        <w:rPr>
          <w:rFonts w:ascii="Times New Roman" w:hAnsi="Times New Roman" w:cs="Times New Roman"/>
          <w:sz w:val="24"/>
          <w:szCs w:val="24"/>
          <w:lang w:val="bg-BG"/>
        </w:rPr>
        <w:t>Джамалуване</w:t>
      </w:r>
      <w:proofErr w:type="spellEnd"/>
      <w:r w:rsidRPr="00886225">
        <w:rPr>
          <w:rFonts w:ascii="Times New Roman" w:hAnsi="Times New Roman" w:cs="Times New Roman"/>
          <w:sz w:val="24"/>
          <w:szCs w:val="24"/>
          <w:lang w:val="bg-BG"/>
        </w:rPr>
        <w:t xml:space="preserve">). В НЧ „Паисий-1896 г.“ - с. Александрово има Детска вокална група  „Искрица“. В тази група участват 12 деца. 2 от децата се определят като власи, а останалите 10 са с мюсюлманско вероизповедание. НЧ „Просвета-1934 г.“- с. Скобелево работи с 8 деца от ромски произход до 14 години  Обхванати са в клуб „ Лятна занималня“. НЧ „Зора-1930 г.“ - кв.  </w:t>
      </w:r>
      <w:proofErr w:type="spellStart"/>
      <w:r w:rsidRPr="00886225">
        <w:rPr>
          <w:rFonts w:ascii="Times New Roman" w:hAnsi="Times New Roman" w:cs="Times New Roman"/>
          <w:sz w:val="24"/>
          <w:szCs w:val="24"/>
          <w:lang w:val="bg-BG"/>
        </w:rPr>
        <w:t>Продимчец</w:t>
      </w:r>
      <w:proofErr w:type="spellEnd"/>
      <w:r w:rsidRPr="00886225">
        <w:rPr>
          <w:rFonts w:ascii="Times New Roman" w:hAnsi="Times New Roman" w:cs="Times New Roman"/>
          <w:sz w:val="24"/>
          <w:szCs w:val="24"/>
          <w:lang w:val="bg-BG"/>
        </w:rPr>
        <w:t xml:space="preserve">  работи с 20 деца от ромски произход, 10 от които са на възраст до 14 години и 10 деца на възраст  от 14 до 18 години. Те се включват активно в клуб по интереси „Целогодишна занималня“. Също участват в организираните чествания на празниците от обредния календар и библиотечната дейност.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Самодейци от ромски произход са включени в групите и формациите, участващи в регионалния фолклорния събор „Цветница в Ловеч“. НЧ ,,Напредък - 1920 г.” - с. Баховица организира фестивала „По река </w:t>
      </w:r>
      <w:proofErr w:type="spellStart"/>
      <w:r w:rsidRPr="00886225">
        <w:rPr>
          <w:rFonts w:ascii="Times New Roman" w:hAnsi="Times New Roman" w:cs="Times New Roman"/>
          <w:sz w:val="24"/>
          <w:szCs w:val="24"/>
          <w:lang w:val="bg-BG"/>
        </w:rPr>
        <w:t>Чернялка</w:t>
      </w:r>
      <w:proofErr w:type="spellEnd"/>
      <w:r w:rsidRPr="00886225">
        <w:rPr>
          <w:rFonts w:ascii="Times New Roman" w:hAnsi="Times New Roman" w:cs="Times New Roman"/>
          <w:sz w:val="24"/>
          <w:szCs w:val="24"/>
          <w:lang w:val="bg-BG"/>
        </w:rPr>
        <w:t>“. НЧ „Паисий -1896 г.” - с. Александрово ежегодно организира фестивала „Осъм - моя река“.</w:t>
      </w:r>
      <w:r w:rsidRPr="00886225">
        <w:rPr>
          <w:rFonts w:ascii="Times New Roman" w:hAnsi="Times New Roman" w:cs="Times New Roman"/>
          <w:sz w:val="24"/>
          <w:szCs w:val="24"/>
        </w:rPr>
        <w:t xml:space="preserve"> </w:t>
      </w:r>
      <w:r w:rsidRPr="00886225">
        <w:rPr>
          <w:rFonts w:ascii="Times New Roman" w:hAnsi="Times New Roman" w:cs="Times New Roman"/>
          <w:sz w:val="24"/>
          <w:szCs w:val="24"/>
          <w:lang w:val="bg-BG"/>
        </w:rPr>
        <w:t xml:space="preserve"> НЧ „В. Левски - 1924 г." - с. Къкрина е съорганизатор на фестивала „Девет песни от извора“, съвместно със Сдружение „</w:t>
      </w:r>
      <w:proofErr w:type="spellStart"/>
      <w:r w:rsidRPr="00886225">
        <w:rPr>
          <w:rFonts w:ascii="Times New Roman" w:hAnsi="Times New Roman" w:cs="Times New Roman"/>
          <w:sz w:val="24"/>
          <w:szCs w:val="24"/>
          <w:lang w:val="bg-BG"/>
        </w:rPr>
        <w:t>Деветашко</w:t>
      </w:r>
      <w:proofErr w:type="spellEnd"/>
      <w:r w:rsidRPr="00886225">
        <w:rPr>
          <w:rFonts w:ascii="Times New Roman" w:hAnsi="Times New Roman" w:cs="Times New Roman"/>
          <w:sz w:val="24"/>
          <w:szCs w:val="24"/>
          <w:lang w:val="bg-BG"/>
        </w:rPr>
        <w:t xml:space="preserve"> плато”.  НЧ „Събуждане - 1929 г.” - с. Малиново е организатор на „Празник на баклавата”. Ежегодно Центърът за работа с доброволци към Регионалната библиотека, с партньорството на Ресурсен център и Община Ловеч организира кампанията „Забавно лято”. Тя се провежда в гр. Ловеч и населените места на територията на общината в периода от м. юни до м. септември. Кампанията е насочена към развитието на детското творчество и спорта.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В Община Ловеч има назначен гл. експерт „Образователна интеграция и предучилищно образование“. В Общината по Национална програма „Активиране на неактивни лица“ е назначен младши специалист - „Младежки </w:t>
      </w:r>
      <w:proofErr w:type="spellStart"/>
      <w:r w:rsidRPr="00886225">
        <w:rPr>
          <w:rFonts w:ascii="Times New Roman" w:hAnsi="Times New Roman" w:cs="Times New Roman"/>
          <w:sz w:val="24"/>
          <w:szCs w:val="24"/>
          <w:lang w:val="bg-BG"/>
        </w:rPr>
        <w:t>медиатор</w:t>
      </w:r>
      <w:proofErr w:type="spellEnd"/>
      <w:r w:rsidRPr="00886225">
        <w:rPr>
          <w:rFonts w:ascii="Times New Roman" w:hAnsi="Times New Roman" w:cs="Times New Roman"/>
          <w:sz w:val="24"/>
          <w:szCs w:val="24"/>
          <w:lang w:val="bg-BG"/>
        </w:rPr>
        <w:t>“. Работата му се изразява в повишаване на  информираността сред младежите за социална политика по програми на ЕС за заетост и социална интеграция - консултиране, посредничество на първичния пазар на трудовата заетост, професионално ориентиране, мотивиране и най-вече откриване на младежи, които не учат, не работят и не търсят активно заетост.</w:t>
      </w:r>
      <w:r w:rsidRPr="00886225">
        <w:rPr>
          <w:rFonts w:ascii="Times New Roman" w:hAnsi="Times New Roman" w:cs="Times New Roman"/>
          <w:sz w:val="24"/>
          <w:szCs w:val="24"/>
        </w:rPr>
        <w:t xml:space="preserve">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Въпреки постигнатия напредък, предоставен в информацията на институциите, налице са и редица трудности. Те са свързани с ниската мотивация на част от родителите от ромския етнос за получаване на образование на техните деца. Все още много млади роми продължават да остават без подходящо образование, рано да напускат или да не тръгват на училище. Ранните бракове, включването в адекватни обучения и създаването на устойчива заетост, подобряването на пригодността за намиране на работа на младите хора, които не работят, не учат и не се обучават, също се отчитат като трудности. </w:t>
      </w:r>
    </w:p>
    <w:p w:rsidR="00886225" w:rsidRPr="00886225" w:rsidRDefault="00E03162" w:rsidP="00886225">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00886225" w:rsidRPr="00886225">
        <w:rPr>
          <w:rFonts w:ascii="Times New Roman" w:hAnsi="Times New Roman" w:cs="Times New Roman"/>
          <w:sz w:val="24"/>
          <w:szCs w:val="24"/>
          <w:lang w:val="bg-BG"/>
        </w:rPr>
        <w:t>о данни на ГРАО, подлежащи на задължително училищно обучение</w:t>
      </w:r>
      <w:r>
        <w:rPr>
          <w:rFonts w:ascii="Times New Roman" w:hAnsi="Times New Roman" w:cs="Times New Roman"/>
          <w:sz w:val="24"/>
          <w:szCs w:val="24"/>
          <w:lang w:val="bg-BG"/>
        </w:rPr>
        <w:t xml:space="preserve"> в община Ловеч</w:t>
      </w:r>
      <w:r w:rsidR="00886225" w:rsidRPr="00886225">
        <w:rPr>
          <w:rFonts w:ascii="Times New Roman" w:hAnsi="Times New Roman" w:cs="Times New Roman"/>
          <w:sz w:val="24"/>
          <w:szCs w:val="24"/>
          <w:lang w:val="bg-BG"/>
        </w:rPr>
        <w:t xml:space="preserve">, родените през 2010 г. са 393. От тях: 74 са в чужбина, 44 деца са записани на училище в други общини в България, 19 са записани на 6-годишна възраст в първи клас през учебната 2016-2017 година, едно дете не посещава училище по здравословни причини </w:t>
      </w:r>
      <w:r w:rsidR="00886225" w:rsidRPr="00886225">
        <w:rPr>
          <w:rFonts w:ascii="Times New Roman" w:hAnsi="Times New Roman" w:cs="Times New Roman"/>
          <w:sz w:val="24"/>
          <w:szCs w:val="24"/>
        </w:rPr>
        <w:t>(</w:t>
      </w:r>
      <w:r w:rsidR="00886225" w:rsidRPr="00886225">
        <w:rPr>
          <w:rFonts w:ascii="Times New Roman" w:hAnsi="Times New Roman" w:cs="Times New Roman"/>
          <w:sz w:val="24"/>
          <w:szCs w:val="24"/>
          <w:lang w:val="bg-BG"/>
        </w:rPr>
        <w:t>сляпо е на 100 %</w:t>
      </w:r>
      <w:r w:rsidR="00886225" w:rsidRPr="00886225">
        <w:rPr>
          <w:rFonts w:ascii="Times New Roman" w:hAnsi="Times New Roman" w:cs="Times New Roman"/>
          <w:sz w:val="24"/>
          <w:szCs w:val="24"/>
        </w:rPr>
        <w:t>)</w:t>
      </w:r>
      <w:r w:rsidR="00886225" w:rsidRPr="00886225">
        <w:rPr>
          <w:rFonts w:ascii="Times New Roman" w:hAnsi="Times New Roman" w:cs="Times New Roman"/>
          <w:sz w:val="24"/>
          <w:szCs w:val="24"/>
          <w:lang w:val="bg-BG"/>
        </w:rPr>
        <w:t xml:space="preserve">. Записани в първи клас в община Ловеч за учебната 2017-2018 г. са 284.  От тях 19 броя са ученици - 6-годишни </w:t>
      </w:r>
      <w:r w:rsidR="00886225" w:rsidRPr="00886225">
        <w:rPr>
          <w:rFonts w:ascii="Times New Roman" w:hAnsi="Times New Roman" w:cs="Times New Roman"/>
          <w:sz w:val="24"/>
          <w:szCs w:val="24"/>
        </w:rPr>
        <w:t>(</w:t>
      </w:r>
      <w:r w:rsidR="00886225" w:rsidRPr="00886225">
        <w:rPr>
          <w:rFonts w:ascii="Times New Roman" w:hAnsi="Times New Roman" w:cs="Times New Roman"/>
          <w:sz w:val="24"/>
          <w:szCs w:val="24"/>
          <w:lang w:val="bg-BG"/>
        </w:rPr>
        <w:t xml:space="preserve"> родени 2011 г.) и 7 са първокласници (над 7-годишна възраст). Обхватът, спрямо наличните на територията на общината деца, родени през 2010 година е 100%.</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През учебната 2016-2017 година от обхванатите в общината 1081 деца в детски градини и 4536 ученици / в т.ч. 59 в ПГ / в общинските училища и 62 в СФО - без да завършат учебната година са напуснали както следва: 77 деца и ученици са заминали в чужбина, като не се разполага с информация дали посещават училище, 4 ученици са преместени, но не са записани никъде или са отпаднали.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Отпадналите от образователната система шест ученици през учебната 2015-2016 година са </w:t>
      </w:r>
      <w:proofErr w:type="spellStart"/>
      <w:r w:rsidRPr="00886225">
        <w:rPr>
          <w:rFonts w:ascii="Times New Roman" w:hAnsi="Times New Roman" w:cs="Times New Roman"/>
          <w:sz w:val="24"/>
          <w:szCs w:val="24"/>
          <w:lang w:val="bg-BG"/>
        </w:rPr>
        <w:t>реинтегрирани</w:t>
      </w:r>
      <w:proofErr w:type="spellEnd"/>
      <w:r w:rsidRPr="00886225">
        <w:rPr>
          <w:rFonts w:ascii="Times New Roman" w:hAnsi="Times New Roman" w:cs="Times New Roman"/>
          <w:sz w:val="24"/>
          <w:szCs w:val="24"/>
          <w:lang w:val="bg-BG"/>
        </w:rPr>
        <w:t xml:space="preserve"> в училищата през учебната 2016-2017 година.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Община Ловеч извършва дейности по Механизма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създаден с Решение № 373/05.07.2017 г. на Министерски съвет. Чрез него се проверява положението на всички деца, подлежащи на задължително предучилищно и училищно образование. Информацията в платформата по Механизма се обновява и променя постоянно и непрекъснато.</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Община Ловеч не разполага</w:t>
      </w:r>
      <w:r w:rsidRPr="00886225">
        <w:rPr>
          <w:rFonts w:ascii="Times New Roman" w:hAnsi="Times New Roman" w:cs="Times New Roman"/>
          <w:sz w:val="24"/>
          <w:szCs w:val="24"/>
        </w:rPr>
        <w:t xml:space="preserve"> </w:t>
      </w:r>
      <w:r w:rsidRPr="00886225">
        <w:rPr>
          <w:rFonts w:ascii="Times New Roman" w:hAnsi="Times New Roman" w:cs="Times New Roman"/>
          <w:sz w:val="24"/>
          <w:szCs w:val="24"/>
          <w:lang w:val="bg-BG"/>
        </w:rPr>
        <w:t>с информация за общия брой на здравноосигурените лица, тъй като не е от компетенцията й.</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Броят раждания  на майки под 18-годишна възраст за 2017 година е бил 20, като това не се отнася само за лица от ромски произход.</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През 2017 г. Община Ловеч е била работодател по 5 Национални програми с обща заетост от 16 броя безработни лица. От тях заетостта продължава по 3 програми - 5 броя лица.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В рамките на програмите за заетост, по които Община Ловеч е назначавала безработни лица, не са извършвани обучения.</w:t>
      </w:r>
    </w:p>
    <w:p w:rsidR="00886225" w:rsidRPr="00886225" w:rsidRDefault="004700BC" w:rsidP="00886225">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С</w:t>
      </w:r>
      <w:r w:rsidR="00886225" w:rsidRPr="00886225">
        <w:rPr>
          <w:rFonts w:ascii="Times New Roman" w:hAnsi="Times New Roman" w:cs="Times New Roman"/>
          <w:sz w:val="24"/>
          <w:szCs w:val="24"/>
          <w:lang w:val="bg-BG"/>
        </w:rPr>
        <w:t>поред Информационният бюлетин на Агенция по заетостта за състоянието и тенденциите в развитието на пазара на труда през деветмесечието на 2017 г. получен в Община Ловеч за сведение към 30.09.2017 г. общият брой на регистрираните безработни лица в Дирекция „Бюро по труда“- Ловеч е 1525 души, от които 1287 души са безработните от община Ловеч, а останалите 238 са от община Летница. Равнището на безработица към 30.09.2017 г. е 6,53 процента. От този брой данни нямаме информация за лицата самоопределили се като роми.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Равнището на безработица към 30.09.2017 г. е 6,53%, в сравнение със същия период на предходната година е намаляло с 1.78 пункта. Териториалният аспект на това равнище е неравномерен. Данните са от Информационния бюлетин на Агенцията по заетостта към 30.09.2017 г.</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Община Ловеч не разполага с информация, относно дял на продължителни безработно лица, тя не е от компетенцията й.</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На територията на община Ловеч няма махали или квартали, за които може да се каже, че са населени с концентрирано уязвимо, в това число ромско население.</w:t>
      </w:r>
    </w:p>
    <w:p w:rsid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Кадастрална карта и кадастрални регистри на гр. Ловеч са одобрени със заповед на изпълнителния директор на Агенцията по геодезия, картография и кадастър със Заповед РД-18-10 от 17.04.2007 г. Кадастрални карти и кадастрални регистри на всички останали населени места в общината са одобрени със съответни заповеди.</w:t>
      </w:r>
    </w:p>
    <w:p w:rsidR="00886225" w:rsidRDefault="00886225" w:rsidP="00886225">
      <w:pPr>
        <w:pStyle w:val="ListParagraph"/>
        <w:spacing w:line="240" w:lineRule="auto"/>
        <w:ind w:left="0"/>
        <w:jc w:val="both"/>
        <w:rPr>
          <w:rFonts w:ascii="Times New Roman" w:hAnsi="Times New Roman" w:cs="Times New Roman"/>
          <w:sz w:val="24"/>
          <w:szCs w:val="24"/>
          <w:lang w:val="bg-BG"/>
        </w:rPr>
      </w:pPr>
    </w:p>
    <w:p w:rsidR="00886225" w:rsidRDefault="00886225" w:rsidP="00886225">
      <w:pPr>
        <w:pStyle w:val="ListParagraph"/>
        <w:spacing w:line="240" w:lineRule="auto"/>
        <w:ind w:left="0"/>
        <w:jc w:val="both"/>
        <w:rPr>
          <w:rFonts w:ascii="Times New Roman" w:hAnsi="Times New Roman" w:cs="Times New Roman"/>
          <w:sz w:val="28"/>
          <w:szCs w:val="28"/>
          <w:lang w:val="bg-BG"/>
        </w:rPr>
      </w:pPr>
      <w:r w:rsidRPr="00886225">
        <w:rPr>
          <w:rFonts w:ascii="Times New Roman" w:hAnsi="Times New Roman" w:cs="Times New Roman"/>
          <w:sz w:val="28"/>
          <w:szCs w:val="28"/>
          <w:lang w:val="bg-BG"/>
        </w:rPr>
        <w:t>Община Луковит</w:t>
      </w:r>
    </w:p>
    <w:p w:rsidR="00886225" w:rsidRPr="00886225" w:rsidRDefault="005B5DD7" w:rsidP="00886225">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886225" w:rsidRPr="00886225">
        <w:rPr>
          <w:rFonts w:ascii="Times New Roman" w:hAnsi="Times New Roman" w:cs="Times New Roman"/>
          <w:sz w:val="24"/>
          <w:szCs w:val="24"/>
          <w:lang w:val="bg-BG"/>
        </w:rPr>
        <w:t>С Решение № 201/25.01.2013 г. Общински съвет – Луковит приема План за действие на община Луковит за интегриране на българските граждани от ромски произход и други граждани в уязвимо социално положение, живеещи в сходна на ромите ситуация, в изпълнение на Националната стратегия на РБ за интегриране на ромите /2012 – 2020 г./ Планът е актуализиран с Решение № 620/2015 г. на Общински съвет Луковит.</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Изпълняване на  конкретни мерки и дейности по приоритетите на плана :</w:t>
      </w:r>
    </w:p>
    <w:p w:rsidR="00886225" w:rsidRPr="00886225" w:rsidRDefault="00886225" w:rsidP="005B5DD7">
      <w:pPr>
        <w:pStyle w:val="ListParagraph"/>
        <w:spacing w:line="240" w:lineRule="auto"/>
        <w:ind w:left="0"/>
        <w:jc w:val="both"/>
        <w:rPr>
          <w:rFonts w:ascii="Times New Roman" w:hAnsi="Times New Roman" w:cs="Times New Roman"/>
          <w:sz w:val="24"/>
          <w:szCs w:val="24"/>
          <w:lang w:val="bg-BG"/>
        </w:rPr>
      </w:pP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Гарантиране право на равен достъп да качествено образование;</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Повишаване качеството на образование в „ромското“ училище и в селските училища с преобладаващ процент деца от ромски произход ;</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Превенция на отпадане от училище и ограмотяване на неграмотни и малограмотни възрастни роми;</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Приобщаване на родителите към образователния процес;</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Усъвършенстване на образователните условия чрез квалификация на педагогическите специалисти</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Намаляване на детската смъртност;</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Подобряване на здравната помощ за новородените и децата в предучилищна възраст;</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Оценяване и наблюдение на здравното състояние на лицата в неравностойно положение, принадлежащи към етнически малцинства.</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Подобряване на жилищните условия, вкл. и на прилежащата техническа инфраструктура.</w:t>
      </w:r>
    </w:p>
    <w:p w:rsidR="00886225" w:rsidRPr="00886225" w:rsidRDefault="005B5DD7" w:rsidP="00886225">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Осигуряване достъп на ромите до пазара на труда. Квалификация и преквалификация на безработни роми;</w:t>
      </w:r>
    </w:p>
    <w:p w:rsidR="00886225" w:rsidRPr="00886225" w:rsidRDefault="00886225" w:rsidP="004C1FE0">
      <w:pPr>
        <w:pStyle w:val="ListParagraph"/>
        <w:numPr>
          <w:ilvl w:val="0"/>
          <w:numId w:val="6"/>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Насърчаване на заетостта чрез провеждане на обучения на безработни за ключови компетентности;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Постигнатите резултати изложени с конкретни данни и цифри по-долу в отчета   показват, че общината работи активно за изпълнението на конкретните мерки и дейности по приоритетите на плана.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В сравнение с предходни години през 2017 г. община Луковит започна изпълнение на Програма "РОМАКТ" за реализиране на местната политика за интеграция на ромите и други уязвими групи. В сформирания към нея Обществен съвет освен представители на общинските и държавни институции, които имат отношение по политиките за интеграция, са включени  и представители на ромската общност. По този начин за пръв път за обсъждане и решаване на проблемите в кв.  „Изток“ пряко са включени представители на ромската общност , живеещи в квартала.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І. Община Луковит изпълнява проект „Заедно“</w:t>
      </w:r>
      <w:r w:rsidRPr="00886225">
        <w:rPr>
          <w:rFonts w:ascii="Times New Roman" w:hAnsi="Times New Roman" w:cs="Times New Roman"/>
          <w:sz w:val="24"/>
          <w:szCs w:val="24"/>
        </w:rPr>
        <w:t xml:space="preserve"> BG</w:t>
      </w:r>
      <w:r w:rsidRPr="00886225">
        <w:rPr>
          <w:rFonts w:ascii="Times New Roman" w:hAnsi="Times New Roman" w:cs="Times New Roman"/>
          <w:sz w:val="24"/>
          <w:szCs w:val="24"/>
          <w:lang w:val="bg-BG"/>
        </w:rPr>
        <w:t>05</w:t>
      </w:r>
      <w:r w:rsidRPr="00886225">
        <w:rPr>
          <w:rFonts w:ascii="Times New Roman" w:hAnsi="Times New Roman" w:cs="Times New Roman"/>
          <w:sz w:val="24"/>
          <w:szCs w:val="24"/>
        </w:rPr>
        <w:t>M</w:t>
      </w:r>
      <w:r w:rsidRPr="00886225">
        <w:rPr>
          <w:rFonts w:ascii="Times New Roman" w:hAnsi="Times New Roman" w:cs="Times New Roman"/>
          <w:sz w:val="24"/>
          <w:szCs w:val="24"/>
          <w:lang w:val="bg-BG"/>
        </w:rPr>
        <w:t>2</w:t>
      </w:r>
      <w:r w:rsidRPr="00886225">
        <w:rPr>
          <w:rFonts w:ascii="Times New Roman" w:hAnsi="Times New Roman" w:cs="Times New Roman"/>
          <w:sz w:val="24"/>
          <w:szCs w:val="24"/>
        </w:rPr>
        <w:t>OP</w:t>
      </w:r>
      <w:r w:rsidRPr="00886225">
        <w:rPr>
          <w:rFonts w:ascii="Times New Roman" w:hAnsi="Times New Roman" w:cs="Times New Roman"/>
          <w:sz w:val="24"/>
          <w:szCs w:val="24"/>
          <w:lang w:val="bg-BG"/>
        </w:rPr>
        <w:t>001-3.001-0001, финансиран от ОП „Наука и образование за интелигентен растеж“, процедура „Подкрепа за предучилищното възпитание и подготовка на деца в неравностойно положение“.  Общината е бенефициент, а партньори са всички детски градини и училища с подготвителни групи  в общината, както и всички читалища в населените места с ДГ и ПГ. Основни дейности в проекта са: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 Допълнително обучение по български език за деца, за които българският език не е майчин</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 Мероприятия – самостоятелни и съвместни, на детските градини  подготвителните групи, организирани и проведени в читалищата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 Работа с родители.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В проектните дейности, за две учебни години, са включени около 600 деца, от които 442 от ромски произход. Привлечени са нови 28 деца на 6-годишна възраст, никога не посещавали ДГ.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ІІ. Проект „Младежка гаранция в Луковит“ </w:t>
      </w:r>
      <w:r w:rsidRPr="00886225">
        <w:rPr>
          <w:rFonts w:ascii="Times New Roman" w:hAnsi="Times New Roman" w:cs="Times New Roman"/>
          <w:sz w:val="24"/>
          <w:szCs w:val="24"/>
        </w:rPr>
        <w:t>BG</w:t>
      </w:r>
      <w:r w:rsidRPr="00886225">
        <w:rPr>
          <w:rFonts w:ascii="Times New Roman" w:hAnsi="Times New Roman" w:cs="Times New Roman"/>
          <w:sz w:val="24"/>
          <w:szCs w:val="24"/>
          <w:lang w:val="bg-BG"/>
        </w:rPr>
        <w:t>05</w:t>
      </w:r>
      <w:r w:rsidRPr="00886225">
        <w:rPr>
          <w:rFonts w:ascii="Times New Roman" w:hAnsi="Times New Roman" w:cs="Times New Roman"/>
          <w:sz w:val="24"/>
          <w:szCs w:val="24"/>
        </w:rPr>
        <w:t>M</w:t>
      </w:r>
      <w:r w:rsidRPr="00886225">
        <w:rPr>
          <w:rFonts w:ascii="Times New Roman" w:hAnsi="Times New Roman" w:cs="Times New Roman"/>
          <w:sz w:val="24"/>
          <w:szCs w:val="24"/>
          <w:lang w:val="bg-BG"/>
        </w:rPr>
        <w:t>9</w:t>
      </w:r>
      <w:r w:rsidRPr="00886225">
        <w:rPr>
          <w:rFonts w:ascii="Times New Roman" w:hAnsi="Times New Roman" w:cs="Times New Roman"/>
          <w:sz w:val="24"/>
          <w:szCs w:val="24"/>
        </w:rPr>
        <w:t>OP</w:t>
      </w:r>
      <w:r w:rsidRPr="00886225">
        <w:rPr>
          <w:rFonts w:ascii="Times New Roman" w:hAnsi="Times New Roman" w:cs="Times New Roman"/>
          <w:sz w:val="24"/>
          <w:szCs w:val="24"/>
          <w:lang w:val="bg-BG"/>
        </w:rPr>
        <w:t>001-1.002-0038 е финансиран от ОП „Развитие на човешките ресурси“ 2014-2020 г., процедура „Активни“. Бенефициент на проекта е община Луковит, а партньор е Център за професионално обучение към „Научно-технологичен съюз – Плевен“. Основни дейности в проекта са: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 Идентифициране на икономически неактивни младежи до 29-годишна възраст включително, които не са в образование или обучение, и активирането им за включване на пазара на труда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 Мотивационни обучения за активно търсене на работа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 Обучения за професионална квалификация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 Субсидирана заетост за шест месеца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През 2017 г. община Луковит изпълни проект „Младежка гаранция в Луковит“ по ОП РЧР 2014-2020 г.  В рамките на проекта се проведоха мотивационни обучения за активно търсене на работа и професионални обучения с осигурена субсидирана заетост. В мотивационните обучения са включени 100 икономически неактивни младежи, вкл. 54 от ромски произход до 29 годишна възраст, които не са в образование, обучение и са безработни. На мотивираните младежи беше предложена субсидирана заетост за период от 6 месеца. Една част от тях директно бяха назначени на длъжност „Работник/„</w:t>
      </w:r>
      <w:proofErr w:type="spellStart"/>
      <w:r w:rsidRPr="00886225">
        <w:rPr>
          <w:rFonts w:ascii="Times New Roman" w:hAnsi="Times New Roman" w:cs="Times New Roman"/>
          <w:sz w:val="24"/>
          <w:szCs w:val="24"/>
          <w:lang w:val="bg-BG"/>
        </w:rPr>
        <w:t>озеленител</w:t>
      </w:r>
      <w:proofErr w:type="spellEnd"/>
      <w:r w:rsidRPr="00886225">
        <w:rPr>
          <w:rFonts w:ascii="Times New Roman" w:hAnsi="Times New Roman" w:cs="Times New Roman"/>
          <w:sz w:val="24"/>
          <w:szCs w:val="24"/>
          <w:lang w:val="bg-BG"/>
        </w:rPr>
        <w:t>“ и „Чистач/хигиенист“. Други бяха назначени длъжност „Помощник кухня“ в училища и детски градини след професионално обучение по специалност „Работник в производството на кулинарни изделия в заведения за хранене и развлечения“. След професионално обучение „Озеленяване и цветарство“ бяха наети на длъжност „Градинар сезонен“, а след обучение по специалност „Основни и довършителни работи“ на длъжност „Работник поддръжка“ младежите бяха наети в кметствата по населени места в общината.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ІІІ. В изпълнение на Националния план за действие по заетостта през 2017 г. по Регионална програма за заетост и обучение на област Ловеч, бяха назначени 8 продължително безработни лица с ниска или не търсена на пазара на труда професионална квалификация, предимно от ромски произход. Лицата са назначени на длъжност „Общ работник“, изпълняващи комунално-битова дейност на обекти (домове за социални услуги, гробищни паркове, улици и обществени терени) на територията на гр. Луковит 3 лица и в селата Дерманци, Торос и Ъглен общо 5 лица. Лицата работиха в продължение на 6 месеца (от 15.05.2017 г. до 14.11.2017 г.) на пълно работно време.</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ІV. По Оперативна програма „Развитие на човешките ресурси“ 2014-2020 година, схема „Обучение и заетост за младите хора“ са назначени 54 човека до 29 годишна възраст, предимно от ромски произход  на длъжност „Общ работник“ в град Луковит и селата Румянцево, Беленци, Карлуково, Петревене, Тодоричене, Дерманци, Ъглен и Бежаново. Периодът на действие на програмата е 6 месеца /от 01.11.2017 г. до 30.04.2018 г./ на 8-часов работен ден.</w:t>
      </w:r>
    </w:p>
    <w:p w:rsidR="005B5DD7"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Няма изпълнени проекти, съвм</w:t>
      </w:r>
      <w:r w:rsidR="005B5DD7">
        <w:rPr>
          <w:rFonts w:ascii="Times New Roman" w:hAnsi="Times New Roman" w:cs="Times New Roman"/>
          <w:sz w:val="24"/>
          <w:szCs w:val="24"/>
          <w:lang w:val="bg-BG"/>
        </w:rPr>
        <w:t>естно с граждански организации.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През м. март 2017 г. беше одобрена концепция на Община Луковит за изпълнение на интегрирани мерки за приобщаване на уязвими групи с финансиране по ОП „Развитие на човешките ресурси“ и ОП „Наука и образование за интелигентен растеж“. Проектите ще се реализират в партньорство с Дружество „Знание“ Ловеч. Общините с одобрени концепции ще бъдат конкретни бенефициенти по двете програми и ще подготвят интегрирани проектни предложения за приобщаване на уязвими групи. До момента не са получени покани за кандидатстване с конкретни проектни предложения.</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През м. август 2017 г. кметът г-н Иван Грънчаров подписа Споразумение за изпълнение на Програма "РОМАКТ" със Съвета на Европа и Европейската комисия в община Луковит. Програма "РОМАКТ" е съвместна инициатива, която има за цел да съдейства на кметовете и общинските власти да работят заедно с местните ромски общности за разработване на политики и обществени услуги, включващи всички, включително роми.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Със Заповед № 423 от 22.11.2017 г. е сформиран Обществен съвет за социално включване за реализиране на местната политика за интеграция на ромите и други уязвими групи. В него са включени освен представители на общинските и държавни институции, които имат отношение по политиките за интеграция, така и представители на ромската общност, които са членове на  Местната активна група.  Задача на Обществения съвет е да обсъди и изясни проблеми от местно значение, свързани с условията за живот на ромската общност в кв. „Изток“, с активното участие на жителите на квартала и да се планират действия за разрешаване на специфични местни нужди. Вниманието е насочени към социално изключени и поставени в неравностойно положение роми.</w:t>
      </w:r>
    </w:p>
    <w:p w:rsidR="00886225" w:rsidRPr="00886225" w:rsidRDefault="00886225" w:rsidP="005B5DD7">
      <w:pPr>
        <w:pStyle w:val="ListParagraph"/>
        <w:spacing w:line="240" w:lineRule="auto"/>
        <w:ind w:left="0" w:firstLine="284"/>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В община Луковит са назначени: </w:t>
      </w:r>
    </w:p>
    <w:p w:rsidR="00886225" w:rsidRPr="00886225" w:rsidRDefault="00886225" w:rsidP="004C1FE0">
      <w:pPr>
        <w:pStyle w:val="ListParagraph"/>
        <w:numPr>
          <w:ilvl w:val="0"/>
          <w:numId w:val="5"/>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здравни </w:t>
      </w:r>
      <w:proofErr w:type="spellStart"/>
      <w:r w:rsidRPr="00886225">
        <w:rPr>
          <w:rFonts w:ascii="Times New Roman" w:hAnsi="Times New Roman" w:cs="Times New Roman"/>
          <w:sz w:val="24"/>
          <w:szCs w:val="24"/>
          <w:lang w:val="bg-BG"/>
        </w:rPr>
        <w:t>медиатори</w:t>
      </w:r>
      <w:proofErr w:type="spellEnd"/>
      <w:r w:rsidRPr="00886225">
        <w:rPr>
          <w:rFonts w:ascii="Times New Roman" w:hAnsi="Times New Roman" w:cs="Times New Roman"/>
          <w:sz w:val="24"/>
          <w:szCs w:val="24"/>
          <w:lang w:val="bg-BG"/>
        </w:rPr>
        <w:t xml:space="preserve"> – 2 бр., </w:t>
      </w:r>
    </w:p>
    <w:p w:rsidR="00886225" w:rsidRPr="00886225" w:rsidRDefault="00886225" w:rsidP="004C1FE0">
      <w:pPr>
        <w:pStyle w:val="ListParagraph"/>
        <w:numPr>
          <w:ilvl w:val="0"/>
          <w:numId w:val="5"/>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образователни </w:t>
      </w:r>
      <w:proofErr w:type="spellStart"/>
      <w:r w:rsidRPr="00886225">
        <w:rPr>
          <w:rFonts w:ascii="Times New Roman" w:hAnsi="Times New Roman" w:cs="Times New Roman"/>
          <w:sz w:val="24"/>
          <w:szCs w:val="24"/>
          <w:lang w:val="bg-BG"/>
        </w:rPr>
        <w:t>медиатори</w:t>
      </w:r>
      <w:proofErr w:type="spellEnd"/>
      <w:r w:rsidRPr="00886225">
        <w:rPr>
          <w:rFonts w:ascii="Times New Roman" w:hAnsi="Times New Roman" w:cs="Times New Roman"/>
          <w:sz w:val="24"/>
          <w:szCs w:val="24"/>
          <w:lang w:val="bg-BG"/>
        </w:rPr>
        <w:t xml:space="preserve"> -10 бр., в рамките на проект „Заедно“ за 1 година, до 30.11.2017 г.</w:t>
      </w:r>
    </w:p>
    <w:p w:rsidR="00886225" w:rsidRPr="00886225" w:rsidRDefault="00886225" w:rsidP="004C1FE0">
      <w:pPr>
        <w:pStyle w:val="ListParagraph"/>
        <w:numPr>
          <w:ilvl w:val="0"/>
          <w:numId w:val="5"/>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младежки </w:t>
      </w:r>
      <w:proofErr w:type="spellStart"/>
      <w:r w:rsidRPr="00886225">
        <w:rPr>
          <w:rFonts w:ascii="Times New Roman" w:hAnsi="Times New Roman" w:cs="Times New Roman"/>
          <w:sz w:val="24"/>
          <w:szCs w:val="24"/>
          <w:lang w:val="bg-BG"/>
        </w:rPr>
        <w:t>медиатор</w:t>
      </w:r>
      <w:proofErr w:type="spellEnd"/>
      <w:r w:rsidRPr="00886225">
        <w:rPr>
          <w:rFonts w:ascii="Times New Roman" w:hAnsi="Times New Roman" w:cs="Times New Roman"/>
          <w:sz w:val="24"/>
          <w:szCs w:val="24"/>
          <w:lang w:val="bg-BG"/>
        </w:rPr>
        <w:t xml:space="preserve"> по НП „Активиране на неактивни лица“ – 1 бр.</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Общината преценява дейността им като изключително полезна в съответните сфери, в които са назначени.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Трудности: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І. Децата на 5- и 6-годишна възраст подлежат на задължителна подготовка в детските градини, за което обаче дължат такси. Поради невъзможност на родителите да плащат таксите децата остават извън образователната система в тази възраст, не владеят български език, което им  отнема равния старт в първи клас. </w:t>
      </w:r>
    </w:p>
    <w:p w:rsidR="00886225" w:rsidRPr="00886225" w:rsidRDefault="00886225" w:rsidP="00886225">
      <w:pPr>
        <w:pStyle w:val="ListParagraph"/>
        <w:spacing w:line="240" w:lineRule="auto"/>
        <w:ind w:left="0"/>
        <w:jc w:val="both"/>
        <w:rPr>
          <w:rFonts w:ascii="Times New Roman" w:hAnsi="Times New Roman" w:cs="Times New Roman"/>
          <w:sz w:val="24"/>
          <w:szCs w:val="24"/>
          <w:u w:val="single"/>
          <w:lang w:val="bg-BG"/>
        </w:rPr>
      </w:pPr>
      <w:r w:rsidRPr="00886225">
        <w:rPr>
          <w:rFonts w:ascii="Times New Roman" w:hAnsi="Times New Roman" w:cs="Times New Roman"/>
          <w:sz w:val="24"/>
          <w:szCs w:val="24"/>
          <w:lang w:val="bg-BG"/>
        </w:rPr>
        <w:t xml:space="preserve">   ІІ. Размерът на социалните помощи е по-голям от минималната работна заплата. След назначаването им на трудов договор помощите им спират, а те често напускат работа поради факта, че им е по-изгодно да получават социални помощи, отколкото да получават минималната работна заплата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ІІІ. На територията на общината няма активна местна неправителствена организация, която да работи в областта на интегриране на ромите.</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Преодоляване на трудностите чрез:</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І. Разработена е и приета от Общински съвет – Луковит Програма за образователна интеграция на децата и учениците от етническите малцинства. Програмата е за период до 2020 г. и е приета с Решение № 346/18.12.2017 г.</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ІІ. Работа по проекти и програми в областта на интегриране на ромите;</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ІІІ. Назначени са 10 образователни </w:t>
      </w:r>
      <w:proofErr w:type="spellStart"/>
      <w:r w:rsidRPr="00886225">
        <w:rPr>
          <w:rFonts w:ascii="Times New Roman" w:hAnsi="Times New Roman" w:cs="Times New Roman"/>
          <w:sz w:val="24"/>
          <w:szCs w:val="24"/>
          <w:lang w:val="bg-BG"/>
        </w:rPr>
        <w:t>медиатори</w:t>
      </w:r>
      <w:proofErr w:type="spellEnd"/>
      <w:r w:rsidRPr="00886225">
        <w:rPr>
          <w:rFonts w:ascii="Times New Roman" w:hAnsi="Times New Roman" w:cs="Times New Roman"/>
          <w:sz w:val="24"/>
          <w:szCs w:val="24"/>
          <w:lang w:val="bg-BG"/>
        </w:rPr>
        <w:t xml:space="preserve"> в населени места с население над 10 деца от 0 до 9 години, в рамките на проект „Заедно“, финансиран чрез ОП РЧР, които издирват не обхванати деца за ДГ и 1 клас. Повишен е коефициентът на записване в детските градини с 6 %.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ІV.В изпълнение на Механизъм  за съвместна работа на институциите за обхващане и задържане в образователната система на деца и ученици в задължителна възраст /Решение</w:t>
      </w:r>
      <w:r w:rsidR="004700BC">
        <w:rPr>
          <w:rFonts w:ascii="Times New Roman" w:hAnsi="Times New Roman" w:cs="Times New Roman"/>
          <w:sz w:val="24"/>
          <w:szCs w:val="24"/>
          <w:lang w:val="bg-BG"/>
        </w:rPr>
        <w:t xml:space="preserve"> </w:t>
      </w:r>
      <w:r w:rsidRPr="00886225">
        <w:rPr>
          <w:rFonts w:ascii="Times New Roman" w:hAnsi="Times New Roman" w:cs="Times New Roman"/>
          <w:sz w:val="24"/>
          <w:szCs w:val="24"/>
          <w:lang w:val="bg-BG"/>
        </w:rPr>
        <w:t xml:space="preserve">№ 373 на МС от 5 юли 2017 г. са създадени екипи с представители на всички заинтересовани институции, които издириха и върнаха в училища и детски градини 163 деца , подлежащи на задължително образование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V. Обявен е  конкурс за здравен </w:t>
      </w:r>
      <w:proofErr w:type="spellStart"/>
      <w:r w:rsidRPr="00886225">
        <w:rPr>
          <w:rFonts w:ascii="Times New Roman" w:hAnsi="Times New Roman" w:cs="Times New Roman"/>
          <w:sz w:val="24"/>
          <w:szCs w:val="24"/>
          <w:lang w:val="bg-BG"/>
        </w:rPr>
        <w:t>медиатор</w:t>
      </w:r>
      <w:proofErr w:type="spellEnd"/>
      <w:r w:rsidRPr="00886225">
        <w:rPr>
          <w:rFonts w:ascii="Times New Roman" w:hAnsi="Times New Roman" w:cs="Times New Roman"/>
          <w:sz w:val="24"/>
          <w:szCs w:val="24"/>
          <w:lang w:val="bg-BG"/>
        </w:rPr>
        <w:t xml:space="preserve"> за населените места по </w:t>
      </w:r>
      <w:proofErr w:type="spellStart"/>
      <w:r w:rsidRPr="00886225">
        <w:rPr>
          <w:rFonts w:ascii="Times New Roman" w:hAnsi="Times New Roman" w:cs="Times New Roman"/>
          <w:sz w:val="24"/>
          <w:szCs w:val="24"/>
          <w:lang w:val="bg-BG"/>
        </w:rPr>
        <w:t>Витската</w:t>
      </w:r>
      <w:proofErr w:type="spellEnd"/>
      <w:r w:rsidRPr="00886225">
        <w:rPr>
          <w:rFonts w:ascii="Times New Roman" w:hAnsi="Times New Roman" w:cs="Times New Roman"/>
          <w:sz w:val="24"/>
          <w:szCs w:val="24"/>
          <w:lang w:val="bg-BG"/>
        </w:rPr>
        <w:t xml:space="preserve"> долина на територията на община Луковит</w:t>
      </w:r>
    </w:p>
    <w:p w:rsid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w:t>
      </w:r>
      <w:r w:rsidRPr="00886225">
        <w:rPr>
          <w:rFonts w:ascii="Times New Roman" w:hAnsi="Times New Roman" w:cs="Times New Roman"/>
          <w:sz w:val="24"/>
          <w:szCs w:val="24"/>
        </w:rPr>
        <w:t>VI</w:t>
      </w:r>
      <w:r w:rsidRPr="00886225">
        <w:rPr>
          <w:rFonts w:ascii="Times New Roman" w:hAnsi="Times New Roman" w:cs="Times New Roman"/>
          <w:sz w:val="24"/>
          <w:szCs w:val="24"/>
          <w:lang w:val="bg-BG"/>
        </w:rPr>
        <w:t xml:space="preserve">. Разработена е </w:t>
      </w:r>
      <w:proofErr w:type="spellStart"/>
      <w:r w:rsidRPr="00886225">
        <w:rPr>
          <w:rFonts w:ascii="Times New Roman" w:hAnsi="Times New Roman" w:cs="Times New Roman"/>
          <w:sz w:val="24"/>
          <w:szCs w:val="24"/>
          <w:lang w:val="bg-BG"/>
        </w:rPr>
        <w:t>многофондова</w:t>
      </w:r>
      <w:proofErr w:type="spellEnd"/>
      <w:r w:rsidRPr="00886225">
        <w:rPr>
          <w:rFonts w:ascii="Times New Roman" w:hAnsi="Times New Roman" w:cs="Times New Roman"/>
          <w:sz w:val="24"/>
          <w:szCs w:val="24"/>
          <w:lang w:val="bg-BG"/>
        </w:rPr>
        <w:t xml:space="preserve"> Стратегия за водено от общностите местно развитие на Сдружение „Местна инициативна група Луковит-Роман“. Стратегията е одобрена за финансиране и ще се реализира в периода 2018-2023 г. В рамките на СВОМР със средства от Оперативна програма „Наука и образование за интелигентен растеж“ ще бъдат финансирани проекти по ОС 3 „ОБРАЗОВАТЕЛНА СРЕДА ЗА АКТИВНО СОЦИАЛНО ПРИОБЩАВАНЕ“ на ОП НОИР, по Инвестиционен приоритет - 9ii: Социално-икономическа интеграция на </w:t>
      </w:r>
      <w:proofErr w:type="spellStart"/>
      <w:r w:rsidRPr="00886225">
        <w:rPr>
          <w:rFonts w:ascii="Times New Roman" w:hAnsi="Times New Roman" w:cs="Times New Roman"/>
          <w:sz w:val="24"/>
          <w:szCs w:val="24"/>
          <w:lang w:val="bg-BG"/>
        </w:rPr>
        <w:t>маргинализирани</w:t>
      </w:r>
      <w:proofErr w:type="spellEnd"/>
      <w:r w:rsidRPr="00886225">
        <w:rPr>
          <w:rFonts w:ascii="Times New Roman" w:hAnsi="Times New Roman" w:cs="Times New Roman"/>
          <w:sz w:val="24"/>
          <w:szCs w:val="24"/>
          <w:lang w:val="bg-BG"/>
        </w:rPr>
        <w:t xml:space="preserve"> общности като ромите на обща стойност 977 915 лв.. Проектите по ОПРЧР в стратегията, които са насочени към проблеми на </w:t>
      </w:r>
      <w:proofErr w:type="spellStart"/>
      <w:r w:rsidRPr="00886225">
        <w:rPr>
          <w:rFonts w:ascii="Times New Roman" w:hAnsi="Times New Roman" w:cs="Times New Roman"/>
          <w:sz w:val="24"/>
          <w:szCs w:val="24"/>
          <w:lang w:val="bg-BG"/>
        </w:rPr>
        <w:t>маргинализираните</w:t>
      </w:r>
      <w:proofErr w:type="spellEnd"/>
      <w:r w:rsidRPr="00886225">
        <w:rPr>
          <w:rFonts w:ascii="Times New Roman" w:hAnsi="Times New Roman" w:cs="Times New Roman"/>
          <w:sz w:val="24"/>
          <w:szCs w:val="24"/>
          <w:lang w:val="bg-BG"/>
        </w:rPr>
        <w:t xml:space="preserve"> групи, вкл. роми са - Активно включване (Активиране на безработни и неактивни лица) и Социално-икономическа интеграция на </w:t>
      </w:r>
      <w:proofErr w:type="spellStart"/>
      <w:r w:rsidRPr="00886225">
        <w:rPr>
          <w:rFonts w:ascii="Times New Roman" w:hAnsi="Times New Roman" w:cs="Times New Roman"/>
          <w:sz w:val="24"/>
          <w:szCs w:val="24"/>
          <w:lang w:val="bg-BG"/>
        </w:rPr>
        <w:t>маргинализирани</w:t>
      </w:r>
      <w:proofErr w:type="spellEnd"/>
      <w:r w:rsidRPr="00886225">
        <w:rPr>
          <w:rFonts w:ascii="Times New Roman" w:hAnsi="Times New Roman" w:cs="Times New Roman"/>
          <w:sz w:val="24"/>
          <w:szCs w:val="24"/>
          <w:lang w:val="bg-BG"/>
        </w:rPr>
        <w:t xml:space="preserve"> групи и са на обща стойност 1 036 580 лв.</w:t>
      </w:r>
    </w:p>
    <w:p w:rsidR="004700BC" w:rsidRPr="00886225" w:rsidRDefault="004700BC" w:rsidP="00886225">
      <w:pPr>
        <w:pStyle w:val="ListParagraph"/>
        <w:spacing w:line="240" w:lineRule="auto"/>
        <w:ind w:left="0"/>
        <w:jc w:val="both"/>
        <w:rPr>
          <w:rFonts w:ascii="Times New Roman" w:hAnsi="Times New Roman" w:cs="Times New Roman"/>
          <w:sz w:val="24"/>
          <w:szCs w:val="24"/>
          <w:lang w:val="bg-BG"/>
        </w:rPr>
      </w:pPr>
    </w:p>
    <w:p w:rsidR="00886225" w:rsidRPr="00886225" w:rsidRDefault="005B5DD7" w:rsidP="00886225">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886225" w:rsidRPr="00886225">
        <w:rPr>
          <w:rFonts w:ascii="Times New Roman" w:hAnsi="Times New Roman" w:cs="Times New Roman"/>
          <w:sz w:val="24"/>
          <w:szCs w:val="24"/>
          <w:lang w:val="bg-BG"/>
        </w:rPr>
        <w:t xml:space="preserve"> Родени през 2010 година – 241 деца, записаните в първи клас за учебната година 2017/2018 г. - 222 деца.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10.Брой на учениците, отпаднали за изминалата учебна 2016/2017 в община Луковит  по училища и класове ( брой момичета , брой момчета )</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p>
    <w:tbl>
      <w:tblPr>
        <w:tblStyle w:val="TableGrid"/>
        <w:tblW w:w="10916" w:type="dxa"/>
        <w:tblInd w:w="-743" w:type="dxa"/>
        <w:tblLayout w:type="fixed"/>
        <w:tblLook w:val="04A0" w:firstRow="1" w:lastRow="0" w:firstColumn="1" w:lastColumn="0" w:noHBand="0" w:noVBand="1"/>
      </w:tblPr>
      <w:tblGrid>
        <w:gridCol w:w="1418"/>
        <w:gridCol w:w="567"/>
        <w:gridCol w:w="709"/>
        <w:gridCol w:w="709"/>
        <w:gridCol w:w="709"/>
        <w:gridCol w:w="708"/>
        <w:gridCol w:w="709"/>
        <w:gridCol w:w="851"/>
        <w:gridCol w:w="850"/>
        <w:gridCol w:w="709"/>
        <w:gridCol w:w="709"/>
        <w:gridCol w:w="708"/>
        <w:gridCol w:w="776"/>
        <w:gridCol w:w="784"/>
      </w:tblGrid>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Училища</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І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ІІ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ІІІ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ІV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V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VІ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VІІ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VІІІ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ІХ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Х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 xml:space="preserve">. </w:t>
            </w: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ХІ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ХІІ </w:t>
            </w:r>
            <w:proofErr w:type="spellStart"/>
            <w:r w:rsidRPr="00886225">
              <w:rPr>
                <w:rFonts w:ascii="Times New Roman" w:hAnsi="Times New Roman" w:cs="Times New Roman"/>
                <w:sz w:val="24"/>
                <w:szCs w:val="24"/>
                <w:lang w:val="bg-BG"/>
              </w:rPr>
              <w:t>кл</w:t>
            </w:r>
            <w:proofErr w:type="spellEnd"/>
            <w:r w:rsidRPr="00886225">
              <w:rPr>
                <w:rFonts w:ascii="Times New Roman" w:hAnsi="Times New Roman" w:cs="Times New Roman"/>
                <w:sz w:val="24"/>
                <w:szCs w:val="24"/>
                <w:lang w:val="bg-BG"/>
              </w:rPr>
              <w:t>.</w:t>
            </w: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Общо</w:t>
            </w:r>
          </w:p>
        </w:tc>
      </w:tr>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СУ „Алеко Константинов“</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5</w:t>
            </w:r>
          </w:p>
        </w:tc>
      </w:tr>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ПГСС „Сергей </w:t>
            </w:r>
            <w:proofErr w:type="spellStart"/>
            <w:r w:rsidRPr="00886225">
              <w:rPr>
                <w:rFonts w:ascii="Times New Roman" w:hAnsi="Times New Roman" w:cs="Times New Roman"/>
                <w:sz w:val="24"/>
                <w:szCs w:val="24"/>
                <w:lang w:val="bg-BG"/>
              </w:rPr>
              <w:t>Румянцев</w:t>
            </w:r>
            <w:proofErr w:type="spellEnd"/>
            <w:r w:rsidRPr="00886225">
              <w:rPr>
                <w:rFonts w:ascii="Times New Roman" w:hAnsi="Times New Roman" w:cs="Times New Roman"/>
                <w:sz w:val="24"/>
                <w:szCs w:val="24"/>
                <w:lang w:val="bg-BG"/>
              </w:rPr>
              <w:t>“</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3</w:t>
            </w: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3</w:t>
            </w: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7</w:t>
            </w:r>
          </w:p>
        </w:tc>
      </w:tr>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НУ „Инж. Г.Ив.Вълков“</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2</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3</w:t>
            </w:r>
          </w:p>
        </w:tc>
      </w:tr>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ОУ „Христо Ботев“-с. Румянцево</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r>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ОУ „Неофит Рилски“-с. Дерманци</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3</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4</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2</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1</w:t>
            </w: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12</w:t>
            </w:r>
          </w:p>
        </w:tc>
      </w:tr>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ОУ „Васил </w:t>
            </w:r>
            <w:proofErr w:type="spellStart"/>
            <w:r w:rsidRPr="00886225">
              <w:rPr>
                <w:rFonts w:ascii="Times New Roman" w:hAnsi="Times New Roman" w:cs="Times New Roman"/>
                <w:sz w:val="24"/>
                <w:szCs w:val="24"/>
                <w:lang w:val="bg-BG"/>
              </w:rPr>
              <w:t>Левси</w:t>
            </w:r>
            <w:proofErr w:type="spellEnd"/>
            <w:r w:rsidRPr="00886225">
              <w:rPr>
                <w:rFonts w:ascii="Times New Roman" w:hAnsi="Times New Roman" w:cs="Times New Roman"/>
                <w:sz w:val="24"/>
                <w:szCs w:val="24"/>
                <w:lang w:val="bg-BG"/>
              </w:rPr>
              <w:t xml:space="preserve"> “-с. Торос</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2</w:t>
            </w: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2</w:t>
            </w:r>
          </w:p>
        </w:tc>
      </w:tr>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ОУ „Св.</w:t>
            </w:r>
            <w:proofErr w:type="spellStart"/>
            <w:r w:rsidRPr="00886225">
              <w:rPr>
                <w:rFonts w:ascii="Times New Roman" w:hAnsi="Times New Roman" w:cs="Times New Roman"/>
                <w:sz w:val="24"/>
                <w:szCs w:val="24"/>
                <w:lang w:val="bg-BG"/>
              </w:rPr>
              <w:t>св</w:t>
            </w:r>
            <w:proofErr w:type="spellEnd"/>
            <w:r w:rsidRPr="00886225">
              <w:rPr>
                <w:rFonts w:ascii="Times New Roman" w:hAnsi="Times New Roman" w:cs="Times New Roman"/>
                <w:sz w:val="24"/>
                <w:szCs w:val="24"/>
                <w:lang w:val="bg-BG"/>
              </w:rPr>
              <w:t>. Кирил и Методий“- с. Бежаново</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r>
      <w:tr w:rsidR="00886225" w:rsidRPr="00886225" w:rsidTr="00886225">
        <w:tc>
          <w:tcPr>
            <w:tcW w:w="141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Общо отпаднали </w:t>
            </w:r>
          </w:p>
        </w:tc>
        <w:tc>
          <w:tcPr>
            <w:tcW w:w="567"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1"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850"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9"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08"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76"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p>
        </w:tc>
        <w:tc>
          <w:tcPr>
            <w:tcW w:w="784" w:type="dxa"/>
          </w:tcPr>
          <w:p w:rsidR="00886225" w:rsidRPr="00886225" w:rsidRDefault="00886225" w:rsidP="00886225">
            <w:pPr>
              <w:pStyle w:val="ListParagraph"/>
              <w:spacing w:after="200"/>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29 деца</w:t>
            </w:r>
          </w:p>
        </w:tc>
      </w:tr>
    </w:tbl>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p>
    <w:p w:rsidR="005B5DD7"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Общо отпадналите ученици са 29, от </w:t>
      </w:r>
      <w:r w:rsidR="005B5DD7">
        <w:rPr>
          <w:rFonts w:ascii="Times New Roman" w:hAnsi="Times New Roman" w:cs="Times New Roman"/>
          <w:sz w:val="24"/>
          <w:szCs w:val="24"/>
          <w:lang w:val="bg-BG"/>
        </w:rPr>
        <w:t>които 12 момичета и 17 момчета.</w:t>
      </w:r>
    </w:p>
    <w:p w:rsidR="005B5DD7"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Учениците, </w:t>
      </w:r>
      <w:proofErr w:type="spellStart"/>
      <w:r w:rsidRPr="00886225">
        <w:rPr>
          <w:rFonts w:ascii="Times New Roman" w:hAnsi="Times New Roman" w:cs="Times New Roman"/>
          <w:sz w:val="24"/>
          <w:szCs w:val="24"/>
          <w:lang w:val="bg-BG"/>
        </w:rPr>
        <w:t>реинтегрирани</w:t>
      </w:r>
      <w:proofErr w:type="spellEnd"/>
      <w:r w:rsidRPr="00886225">
        <w:rPr>
          <w:rFonts w:ascii="Times New Roman" w:hAnsi="Times New Roman" w:cs="Times New Roman"/>
          <w:sz w:val="24"/>
          <w:szCs w:val="24"/>
          <w:lang w:val="bg-BG"/>
        </w:rPr>
        <w:t xml:space="preserve"> в училищата за у</w:t>
      </w:r>
      <w:r w:rsidR="005B5DD7">
        <w:rPr>
          <w:rFonts w:ascii="Times New Roman" w:hAnsi="Times New Roman" w:cs="Times New Roman"/>
          <w:sz w:val="24"/>
          <w:szCs w:val="24"/>
          <w:lang w:val="bg-BG"/>
        </w:rPr>
        <w:t>чебната 2016/2017 г.- 5 ученици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 Общината има информация за деца и ученици, които са извън училище:</w:t>
      </w:r>
    </w:p>
    <w:p w:rsidR="00886225" w:rsidRPr="00886225" w:rsidRDefault="00886225" w:rsidP="004C1FE0">
      <w:pPr>
        <w:pStyle w:val="ListParagraph"/>
        <w:numPr>
          <w:ilvl w:val="0"/>
          <w:numId w:val="5"/>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Незаписани по здравословни причини – 16 ученици;</w:t>
      </w:r>
    </w:p>
    <w:p w:rsidR="00886225" w:rsidRPr="00886225" w:rsidRDefault="00886225" w:rsidP="004C1FE0">
      <w:pPr>
        <w:pStyle w:val="ListParagraph"/>
        <w:numPr>
          <w:ilvl w:val="0"/>
          <w:numId w:val="5"/>
        </w:numPr>
        <w:spacing w:line="240" w:lineRule="auto"/>
        <w:ind w:left="0" w:firstLine="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Незаписани в чужбина и неустановено местонахождение – 27 ученици;</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Общината разполага  с информация за общия брой на здравноосигурените лица - към 31.12.2017 г. на територията на община Луковит избор на ОПЛ са имали 16 517 лица, от тях здравноосигурени са 12 232 лица.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Брой раждания на майки под 18 годишна възраст за 2017 г.  – 28 раждания на майки под 18 –годишна възраст</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Брой на включени в заетост по програми и проекти самоопределили се като роми лица за 2017г., които продължават заетостта си и в тази година - 37.</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 xml:space="preserve">Брой на включените в обучения през 2016г /самоопределили се като роми/, вследствие на което са включени в заетост през 2016г и продължават заетостта </w:t>
      </w:r>
      <w:r w:rsidRPr="00886225">
        <w:rPr>
          <w:rFonts w:ascii="Times New Roman" w:hAnsi="Times New Roman" w:cs="Times New Roman"/>
          <w:iCs/>
          <w:sz w:val="24"/>
          <w:szCs w:val="24"/>
          <w:lang w:val="bg-BG"/>
        </w:rPr>
        <w:t xml:space="preserve">си </w:t>
      </w:r>
      <w:r w:rsidRPr="00886225">
        <w:rPr>
          <w:rFonts w:ascii="Times New Roman" w:hAnsi="Times New Roman" w:cs="Times New Roman"/>
          <w:sz w:val="24"/>
          <w:szCs w:val="24"/>
          <w:lang w:val="bg-BG"/>
        </w:rPr>
        <w:t>през 2017г - 0.</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Общ брой регистрирани безработни за 2017г. - 1272, от тях самоопределили се като роми - 392 лица, от които 256 продължително безработни / с регистрация над една година/.</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Равнище на безработица за 2016г - 28,48%, за 2017г. - 24,25%.</w:t>
      </w:r>
    </w:p>
    <w:p w:rsidR="00886225" w:rsidRP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Дял на продължително безработни лица:</w:t>
      </w:r>
    </w:p>
    <w:p w:rsidR="00886225" w:rsidRPr="00886225" w:rsidRDefault="00886225" w:rsidP="004C1FE0">
      <w:pPr>
        <w:pStyle w:val="ListParagraph"/>
        <w:numPr>
          <w:ilvl w:val="0"/>
          <w:numId w:val="4"/>
        </w:numPr>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от 1 до 2 години - 180 лица, 14,15% от общо регистрираните</w:t>
      </w:r>
    </w:p>
    <w:p w:rsidR="00886225" w:rsidRPr="00886225" w:rsidRDefault="00886225" w:rsidP="004C1FE0">
      <w:pPr>
        <w:pStyle w:val="ListParagraph"/>
        <w:numPr>
          <w:ilvl w:val="0"/>
          <w:numId w:val="4"/>
        </w:numPr>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над 2 години -489 лица, 38,44% от общо регистрираните.</w:t>
      </w:r>
    </w:p>
    <w:p w:rsidR="00886225" w:rsidRPr="00886225" w:rsidRDefault="005B5DD7" w:rsidP="00886225">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886225" w:rsidRPr="00886225">
        <w:rPr>
          <w:rFonts w:ascii="Times New Roman" w:hAnsi="Times New Roman" w:cs="Times New Roman"/>
          <w:sz w:val="24"/>
          <w:szCs w:val="24"/>
          <w:lang w:val="bg-BG"/>
        </w:rPr>
        <w:t xml:space="preserve">Общината разполага  с информация за общия брой /процент/ дял на незаконосъобразните постройки/ жилища на нейната територия и каква част от тях се намират в местата (махали/квартали), населени с концентрирано уязвимо, в т.ч. ромско население – около 30% са незаконните постройки в квартал „Изток“ в гр. Луковит. В квартала  приблизителния брой на пребиваващите е 2900 .  </w:t>
      </w:r>
    </w:p>
    <w:p w:rsidR="00886225" w:rsidRDefault="00886225" w:rsidP="00886225">
      <w:pPr>
        <w:pStyle w:val="ListParagraph"/>
        <w:spacing w:line="240" w:lineRule="auto"/>
        <w:ind w:left="0"/>
        <w:jc w:val="both"/>
        <w:rPr>
          <w:rFonts w:ascii="Times New Roman" w:hAnsi="Times New Roman" w:cs="Times New Roman"/>
          <w:sz w:val="24"/>
          <w:szCs w:val="24"/>
          <w:lang w:val="bg-BG"/>
        </w:rPr>
      </w:pPr>
      <w:r w:rsidRPr="00886225">
        <w:rPr>
          <w:rFonts w:ascii="Times New Roman" w:hAnsi="Times New Roman" w:cs="Times New Roman"/>
          <w:sz w:val="24"/>
          <w:szCs w:val="24"/>
          <w:lang w:val="bg-BG"/>
        </w:rPr>
        <w:t>Общината има ли изготвена кадастрална карта. – За гр. Луковит има изготвена кадастрална карта, а за селата се изготвя в момента.</w:t>
      </w:r>
    </w:p>
    <w:p w:rsidR="00DE2F00" w:rsidRDefault="00DE2F00" w:rsidP="00886225">
      <w:pPr>
        <w:pStyle w:val="ListParagraph"/>
        <w:spacing w:line="240" w:lineRule="auto"/>
        <w:ind w:left="0"/>
        <w:jc w:val="both"/>
        <w:rPr>
          <w:rFonts w:ascii="Times New Roman" w:hAnsi="Times New Roman" w:cs="Times New Roman"/>
          <w:sz w:val="24"/>
          <w:szCs w:val="24"/>
          <w:lang w:val="bg-BG"/>
        </w:rPr>
      </w:pPr>
    </w:p>
    <w:p w:rsidR="00DE2F00" w:rsidRDefault="00DE2F00" w:rsidP="00886225">
      <w:pPr>
        <w:pStyle w:val="ListParagraph"/>
        <w:spacing w:line="240" w:lineRule="auto"/>
        <w:ind w:left="0"/>
        <w:jc w:val="both"/>
        <w:rPr>
          <w:rFonts w:ascii="Times New Roman" w:hAnsi="Times New Roman" w:cs="Times New Roman"/>
          <w:sz w:val="28"/>
          <w:szCs w:val="28"/>
          <w:lang w:val="bg-BG"/>
        </w:rPr>
      </w:pPr>
      <w:r w:rsidRPr="00DE2F00">
        <w:rPr>
          <w:rFonts w:ascii="Times New Roman" w:hAnsi="Times New Roman" w:cs="Times New Roman"/>
          <w:sz w:val="28"/>
          <w:szCs w:val="28"/>
          <w:lang w:val="bg-BG"/>
        </w:rPr>
        <w:t>Община Тетевен</w:t>
      </w:r>
    </w:p>
    <w:p w:rsidR="00DE2F00" w:rsidRDefault="00DE2F00" w:rsidP="00886225">
      <w:pPr>
        <w:pStyle w:val="ListParagraph"/>
        <w:spacing w:line="240" w:lineRule="auto"/>
        <w:ind w:left="0"/>
        <w:jc w:val="both"/>
        <w:rPr>
          <w:rFonts w:ascii="Times New Roman" w:hAnsi="Times New Roman" w:cs="Times New Roman"/>
          <w:sz w:val="28"/>
          <w:szCs w:val="28"/>
          <w:lang w:val="bg-BG"/>
        </w:rPr>
      </w:pP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Детската градина е институция в системата на предучилищното и училищното образование, в която се отглеждат, възпитават, социализират и обучават деца от тригодишна възраст до постъпването им в първи клас. Предучилищното обучение за пет и шест годишните деца е задължително. Основен принцип на предучилищното възпитание и обучение е ориентираност към интереса и към мотивацията на децата, към възрастовите и социални промени в живота им, както и към способността им да прилагат усвоените компетентности на практика.</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Детските заведения осигуряват условия за изграждане личността на детето и младия човек и създават предпоставки за по-нататъшното му самостоятелно развитие и пълноценното му реализиране в обществото.</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Във всяка детска градина се осигурява обща и допълнителна подкрепа за личностно развитие съгласно чл.178, ал. 1 от ЗПУО, като се гарантира правото на всяко дете на достъп до детска градина и правото му на качествено образование, което включва:</w:t>
      </w:r>
    </w:p>
    <w:p w:rsidR="00DE2F00" w:rsidRPr="00DE2F00" w:rsidRDefault="00DE2F00" w:rsidP="004C1FE0">
      <w:pPr>
        <w:pStyle w:val="ListParagraph"/>
        <w:numPr>
          <w:ilvl w:val="0"/>
          <w:numId w:val="7"/>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Екипна работа между учителите и другите педагогически специалисти</w:t>
      </w:r>
    </w:p>
    <w:p w:rsidR="00DE2F00" w:rsidRPr="00DE2F00" w:rsidRDefault="00DE2F00" w:rsidP="004C1FE0">
      <w:pPr>
        <w:pStyle w:val="ListParagraph"/>
        <w:numPr>
          <w:ilvl w:val="0"/>
          <w:numId w:val="7"/>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Осигуряване на занимания по интереси</w:t>
      </w:r>
    </w:p>
    <w:p w:rsidR="00DE2F00" w:rsidRPr="00DE2F00" w:rsidRDefault="00DE2F00" w:rsidP="004C1FE0">
      <w:pPr>
        <w:pStyle w:val="ListParagraph"/>
        <w:numPr>
          <w:ilvl w:val="0"/>
          <w:numId w:val="7"/>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Грижа за здравето</w:t>
      </w:r>
    </w:p>
    <w:p w:rsidR="00DE2F00" w:rsidRPr="00DE2F00" w:rsidRDefault="00DE2F00" w:rsidP="004C1FE0">
      <w:pPr>
        <w:pStyle w:val="ListParagraph"/>
        <w:numPr>
          <w:ilvl w:val="0"/>
          <w:numId w:val="7"/>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Дейности по превенция на насилието и преодоляване на проблемното поведение</w:t>
      </w:r>
    </w:p>
    <w:p w:rsidR="00DE2F00" w:rsidRPr="00DE2F00" w:rsidRDefault="00DE2F00" w:rsidP="004C1FE0">
      <w:pPr>
        <w:pStyle w:val="ListParagraph"/>
        <w:numPr>
          <w:ilvl w:val="0"/>
          <w:numId w:val="7"/>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Ранно оценяване на потребностите и превенция на обучителните затруднения</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ab/>
        <w:t xml:space="preserve">След Решение№ 13/22.05.2012 г. на Общински съвет-Тетевен всички детски градини на територията на общината са преструктурирани, като </w:t>
      </w:r>
      <w:proofErr w:type="spellStart"/>
      <w:r w:rsidRPr="00DE2F00">
        <w:rPr>
          <w:rFonts w:ascii="Times New Roman" w:hAnsi="Times New Roman" w:cs="Times New Roman"/>
          <w:sz w:val="24"/>
          <w:szCs w:val="24"/>
          <w:lang w:val="bg-BG" w:bidi="en-US"/>
        </w:rPr>
        <w:t>едногрупните</w:t>
      </w:r>
      <w:proofErr w:type="spellEnd"/>
      <w:r w:rsidRPr="00DE2F00">
        <w:rPr>
          <w:rFonts w:ascii="Times New Roman" w:hAnsi="Times New Roman" w:cs="Times New Roman"/>
          <w:sz w:val="24"/>
          <w:szCs w:val="24"/>
          <w:lang w:val="bg-BG" w:bidi="en-US"/>
        </w:rPr>
        <w:t xml:space="preserve"> групи са смесени и работят като изнесени/филиали/ към централните градини.</w:t>
      </w:r>
    </w:p>
    <w:p w:rsidR="00DE2F00" w:rsidRPr="00DE2F00" w:rsidRDefault="00DE2F00" w:rsidP="00DE2F00">
      <w:pPr>
        <w:pStyle w:val="ListParagraph"/>
        <w:ind w:left="0"/>
        <w:jc w:val="both"/>
        <w:rPr>
          <w:rFonts w:ascii="Times New Roman" w:hAnsi="Times New Roman" w:cs="Times New Roman"/>
          <w:sz w:val="24"/>
          <w:szCs w:val="24"/>
          <w:lang w:val="bg-BG" w:bidi="en-US"/>
        </w:rPr>
      </w:pPr>
    </w:p>
    <w:p w:rsidR="00DE2F00" w:rsidRPr="00DE2F00" w:rsidRDefault="00DE2F00" w:rsidP="00DE2F00">
      <w:pPr>
        <w:pStyle w:val="ListParagraph"/>
        <w:ind w:left="0"/>
        <w:jc w:val="both"/>
        <w:rPr>
          <w:rFonts w:ascii="Times New Roman" w:hAnsi="Times New Roman" w:cs="Times New Roman"/>
          <w:i/>
          <w:sz w:val="24"/>
          <w:szCs w:val="24"/>
          <w:lang w:val="bg-BG" w:bidi="en-US"/>
        </w:rPr>
      </w:pPr>
      <w:r w:rsidRPr="00DE2F00">
        <w:rPr>
          <w:rFonts w:ascii="Times New Roman" w:hAnsi="Times New Roman" w:cs="Times New Roman"/>
          <w:i/>
          <w:sz w:val="24"/>
          <w:szCs w:val="24"/>
          <w:lang w:val="bg-BG" w:bidi="en-US"/>
        </w:rPr>
        <w:t>Образователни институции в сферата на предучилищното образование на територията на община Тетевен:</w:t>
      </w:r>
    </w:p>
    <w:p w:rsidR="00DE2F00" w:rsidRPr="00DE2F00" w:rsidRDefault="00DE2F00" w:rsidP="00DE2F00">
      <w:pPr>
        <w:pStyle w:val="ListParagraph"/>
        <w:ind w:left="0"/>
        <w:jc w:val="both"/>
        <w:rPr>
          <w:rFonts w:ascii="Times New Roman" w:hAnsi="Times New Roman" w:cs="Times New Roman"/>
          <w:i/>
          <w:sz w:val="24"/>
          <w:szCs w:val="24"/>
          <w:lang w:val="bg-BG"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256"/>
        <w:gridCol w:w="3136"/>
      </w:tblGrid>
      <w:tr w:rsidR="00DE2F00" w:rsidRPr="00DE2F00" w:rsidTr="001D139A">
        <w:tc>
          <w:tcPr>
            <w:tcW w:w="3409" w:type="dxa"/>
            <w:shd w:val="clear" w:color="auto" w:fill="auto"/>
          </w:tcPr>
          <w:p w:rsidR="00DE2F00" w:rsidRPr="00DE2F00" w:rsidRDefault="00DE2F00" w:rsidP="00DE2F00">
            <w:pPr>
              <w:pStyle w:val="ListParagraph"/>
              <w:ind w:left="0"/>
              <w:jc w:val="both"/>
              <w:rPr>
                <w:rFonts w:ascii="Times New Roman" w:hAnsi="Times New Roman" w:cs="Times New Roman"/>
                <w:i/>
                <w:sz w:val="24"/>
                <w:szCs w:val="24"/>
                <w:lang w:val="bg-BG" w:bidi="en-US"/>
              </w:rPr>
            </w:pPr>
            <w:r w:rsidRPr="00DE2F00">
              <w:rPr>
                <w:rFonts w:ascii="Times New Roman" w:hAnsi="Times New Roman" w:cs="Times New Roman"/>
                <w:i/>
                <w:sz w:val="24"/>
                <w:szCs w:val="24"/>
                <w:lang w:val="bg-BG" w:bidi="en-US"/>
              </w:rPr>
              <w:t>Населено място</w:t>
            </w:r>
          </w:p>
        </w:tc>
        <w:tc>
          <w:tcPr>
            <w:tcW w:w="3526" w:type="dxa"/>
            <w:shd w:val="clear" w:color="auto" w:fill="auto"/>
          </w:tcPr>
          <w:p w:rsidR="00DE2F00" w:rsidRPr="00DE2F00" w:rsidRDefault="00DE2F00" w:rsidP="00DE2F00">
            <w:pPr>
              <w:pStyle w:val="ListParagraph"/>
              <w:ind w:left="0"/>
              <w:jc w:val="both"/>
              <w:rPr>
                <w:rFonts w:ascii="Times New Roman" w:hAnsi="Times New Roman" w:cs="Times New Roman"/>
                <w:i/>
                <w:sz w:val="24"/>
                <w:szCs w:val="24"/>
                <w:lang w:val="bg-BG" w:bidi="en-US"/>
              </w:rPr>
            </w:pPr>
            <w:proofErr w:type="spellStart"/>
            <w:r w:rsidRPr="00DE2F00">
              <w:rPr>
                <w:rFonts w:ascii="Times New Roman" w:hAnsi="Times New Roman" w:cs="Times New Roman"/>
                <w:i/>
                <w:sz w:val="24"/>
                <w:szCs w:val="24"/>
                <w:lang w:val="bg-BG" w:bidi="en-US"/>
              </w:rPr>
              <w:t>Найменование</w:t>
            </w:r>
            <w:proofErr w:type="spellEnd"/>
            <w:r w:rsidRPr="00DE2F00">
              <w:rPr>
                <w:rFonts w:ascii="Times New Roman" w:hAnsi="Times New Roman" w:cs="Times New Roman"/>
                <w:i/>
                <w:sz w:val="24"/>
                <w:szCs w:val="24"/>
                <w:lang w:val="bg-BG" w:bidi="en-US"/>
              </w:rPr>
              <w:t xml:space="preserve"> на ДГ</w:t>
            </w:r>
          </w:p>
        </w:tc>
        <w:tc>
          <w:tcPr>
            <w:tcW w:w="3413" w:type="dxa"/>
            <w:shd w:val="clear" w:color="auto" w:fill="auto"/>
          </w:tcPr>
          <w:p w:rsidR="00DE2F00" w:rsidRPr="00DE2F00" w:rsidRDefault="00DE2F00" w:rsidP="00DE2F00">
            <w:pPr>
              <w:pStyle w:val="ListParagraph"/>
              <w:ind w:left="0"/>
              <w:jc w:val="both"/>
              <w:rPr>
                <w:rFonts w:ascii="Times New Roman" w:hAnsi="Times New Roman" w:cs="Times New Roman"/>
                <w:i/>
                <w:sz w:val="24"/>
                <w:szCs w:val="24"/>
                <w:lang w:val="bg-BG" w:bidi="en-US"/>
              </w:rPr>
            </w:pPr>
            <w:r w:rsidRPr="00DE2F00">
              <w:rPr>
                <w:rFonts w:ascii="Times New Roman" w:hAnsi="Times New Roman" w:cs="Times New Roman"/>
                <w:i/>
                <w:sz w:val="24"/>
                <w:szCs w:val="24"/>
                <w:lang w:val="bg-BG" w:bidi="en-US"/>
              </w:rPr>
              <w:t>Изнесена група</w:t>
            </w:r>
          </w:p>
        </w:tc>
      </w:tr>
      <w:tr w:rsidR="00DE2F00" w:rsidRPr="00DE2F00" w:rsidTr="001D139A">
        <w:tc>
          <w:tcPr>
            <w:tcW w:w="340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гр. Тетевен</w:t>
            </w:r>
          </w:p>
        </w:tc>
        <w:tc>
          <w:tcPr>
            <w:tcW w:w="35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„Васил Левски“</w:t>
            </w:r>
          </w:p>
        </w:tc>
        <w:tc>
          <w:tcPr>
            <w:tcW w:w="3413"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 Гложене</w:t>
            </w:r>
          </w:p>
        </w:tc>
      </w:tr>
      <w:tr w:rsidR="00DE2F00" w:rsidRPr="00DE2F00" w:rsidTr="001D139A">
        <w:tc>
          <w:tcPr>
            <w:tcW w:w="340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гр. Тетевен</w:t>
            </w:r>
          </w:p>
        </w:tc>
        <w:tc>
          <w:tcPr>
            <w:tcW w:w="35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„Незабравка“</w:t>
            </w:r>
          </w:p>
        </w:tc>
        <w:tc>
          <w:tcPr>
            <w:tcW w:w="3413"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 Рибарица, с. Бабинци</w:t>
            </w:r>
          </w:p>
        </w:tc>
      </w:tr>
      <w:tr w:rsidR="00DE2F00" w:rsidRPr="00DE2F00" w:rsidTr="001D139A">
        <w:tc>
          <w:tcPr>
            <w:tcW w:w="340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гр. Тетевен</w:t>
            </w:r>
          </w:p>
        </w:tc>
        <w:tc>
          <w:tcPr>
            <w:tcW w:w="35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„Детелина“</w:t>
            </w:r>
          </w:p>
        </w:tc>
        <w:tc>
          <w:tcPr>
            <w:tcW w:w="3413"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w:t>
            </w:r>
            <w:proofErr w:type="spellStart"/>
            <w:r w:rsidRPr="00DE2F00">
              <w:rPr>
                <w:rFonts w:ascii="Times New Roman" w:hAnsi="Times New Roman" w:cs="Times New Roman"/>
                <w:sz w:val="24"/>
                <w:szCs w:val="24"/>
                <w:lang w:val="bg-BG" w:bidi="en-US"/>
              </w:rPr>
              <w:t>Свещаров</w:t>
            </w:r>
            <w:proofErr w:type="spellEnd"/>
            <w:r w:rsidRPr="00DE2F00">
              <w:rPr>
                <w:rFonts w:ascii="Times New Roman" w:hAnsi="Times New Roman" w:cs="Times New Roman"/>
                <w:sz w:val="24"/>
                <w:szCs w:val="24"/>
                <w:lang w:val="bg-BG" w:bidi="en-US"/>
              </w:rPr>
              <w:t>“-Тетевен, с. Бабинци</w:t>
            </w:r>
          </w:p>
        </w:tc>
      </w:tr>
      <w:tr w:rsidR="00DE2F00" w:rsidRPr="00DE2F00" w:rsidTr="001D139A">
        <w:tc>
          <w:tcPr>
            <w:tcW w:w="340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 Градежница</w:t>
            </w:r>
          </w:p>
        </w:tc>
        <w:tc>
          <w:tcPr>
            <w:tcW w:w="35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„Слънце“</w:t>
            </w:r>
          </w:p>
        </w:tc>
        <w:tc>
          <w:tcPr>
            <w:tcW w:w="3413"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 Черни Вит</w:t>
            </w:r>
          </w:p>
        </w:tc>
      </w:tr>
      <w:tr w:rsidR="00DE2F00" w:rsidRPr="00DE2F00" w:rsidTr="001D139A">
        <w:tc>
          <w:tcPr>
            <w:tcW w:w="340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с.Галата</w:t>
            </w:r>
          </w:p>
        </w:tc>
        <w:tc>
          <w:tcPr>
            <w:tcW w:w="35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„Здравец“</w:t>
            </w:r>
          </w:p>
        </w:tc>
        <w:tc>
          <w:tcPr>
            <w:tcW w:w="3413"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 Български извор</w:t>
            </w:r>
          </w:p>
        </w:tc>
      </w:tr>
      <w:tr w:rsidR="00DE2F00" w:rsidRPr="00DE2F00" w:rsidTr="001D139A">
        <w:tc>
          <w:tcPr>
            <w:tcW w:w="340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 Глогово</w:t>
            </w:r>
          </w:p>
        </w:tc>
        <w:tc>
          <w:tcPr>
            <w:tcW w:w="35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„Изгрев“</w:t>
            </w:r>
          </w:p>
        </w:tc>
        <w:tc>
          <w:tcPr>
            <w:tcW w:w="3413"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няма</w:t>
            </w:r>
          </w:p>
        </w:tc>
      </w:tr>
    </w:tbl>
    <w:p w:rsidR="00DE2F00" w:rsidRPr="00DE2F00" w:rsidRDefault="00DE2F00" w:rsidP="00DE2F00">
      <w:pPr>
        <w:pStyle w:val="ListParagraph"/>
        <w:ind w:left="0"/>
        <w:jc w:val="both"/>
        <w:rPr>
          <w:rFonts w:ascii="Times New Roman" w:hAnsi="Times New Roman" w:cs="Times New Roman"/>
          <w:i/>
          <w:sz w:val="24"/>
          <w:szCs w:val="24"/>
          <w:lang w:val="bg-BG" w:bidi="en-US"/>
        </w:rPr>
      </w:pP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Работата в смесена група изисква добра подготовка, гъвкавост и много любов към децата, за да се постигне образователния стандарт за задължителната предучилищна подготовка /5-6г./, съгласно Наредба №5/03.06.2016 г. за предучилищното образование</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Изходящата диагностика в края на учебната година е показател за готовността на децата за училище и постигнатото в учебно-възпитателната работа през учебната година.</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Не по-малко важен по значимост показател за работата в детските градини е и средната месечна </w:t>
      </w:r>
      <w:proofErr w:type="spellStart"/>
      <w:r w:rsidRPr="00DE2F00">
        <w:rPr>
          <w:rFonts w:ascii="Times New Roman" w:hAnsi="Times New Roman" w:cs="Times New Roman"/>
          <w:sz w:val="24"/>
          <w:szCs w:val="24"/>
          <w:lang w:val="bg-BG" w:bidi="en-US"/>
        </w:rPr>
        <w:t>посещаемост</w:t>
      </w:r>
      <w:proofErr w:type="spellEnd"/>
      <w:r w:rsidRPr="00DE2F00">
        <w:rPr>
          <w:rFonts w:ascii="Times New Roman" w:hAnsi="Times New Roman" w:cs="Times New Roman"/>
          <w:sz w:val="24"/>
          <w:szCs w:val="24"/>
          <w:lang w:val="bg-BG" w:bidi="en-US"/>
        </w:rPr>
        <w:t>, която се наблюдава за свободно избран период от време/не по малко от два последователни месеца/.</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 влизане в сила на новия Закон за предучилищното и училищно образование за предучилищното образование бяха приети следните нормативни документи, които закона изискваше:</w:t>
      </w:r>
    </w:p>
    <w:p w:rsidR="00DE2F00" w:rsidRPr="00DE2F00" w:rsidRDefault="00DE2F00" w:rsidP="00DE2F00">
      <w:pPr>
        <w:pStyle w:val="ListParagraph"/>
        <w:ind w:left="0"/>
        <w:jc w:val="both"/>
        <w:rPr>
          <w:rFonts w:ascii="Times New Roman" w:hAnsi="Times New Roman" w:cs="Times New Roman"/>
          <w:sz w:val="24"/>
          <w:szCs w:val="24"/>
          <w:lang w:val="bg-B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767"/>
      </w:tblGrid>
      <w:tr w:rsidR="00DE2F00" w:rsidRPr="00DE2F00" w:rsidTr="001D139A">
        <w:tc>
          <w:tcPr>
            <w:tcW w:w="538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Вид нормативен документ</w:t>
            </w:r>
          </w:p>
        </w:tc>
        <w:tc>
          <w:tcPr>
            <w:tcW w:w="538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Решение на </w:t>
            </w:r>
            <w:proofErr w:type="spellStart"/>
            <w:r w:rsidRPr="00DE2F00">
              <w:rPr>
                <w:rFonts w:ascii="Times New Roman" w:hAnsi="Times New Roman" w:cs="Times New Roman"/>
                <w:sz w:val="24"/>
                <w:szCs w:val="24"/>
                <w:lang w:val="bg-BG" w:bidi="en-US"/>
              </w:rPr>
              <w:t>ОбС-Тетевен</w:t>
            </w:r>
            <w:proofErr w:type="spellEnd"/>
          </w:p>
        </w:tc>
      </w:tr>
      <w:tr w:rsidR="00DE2F00" w:rsidRPr="00DE2F00" w:rsidTr="001D139A">
        <w:tc>
          <w:tcPr>
            <w:tcW w:w="538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Промяна наименованията на Целодневните детски градини, Обединено детско </w:t>
            </w:r>
            <w:proofErr w:type="spellStart"/>
            <w:r w:rsidRPr="00DE2F00">
              <w:rPr>
                <w:rFonts w:ascii="Times New Roman" w:hAnsi="Times New Roman" w:cs="Times New Roman"/>
                <w:sz w:val="24"/>
                <w:szCs w:val="24"/>
                <w:lang w:val="bg-BG" w:bidi="en-US"/>
              </w:rPr>
              <w:t>завидиние</w:t>
            </w:r>
            <w:proofErr w:type="spellEnd"/>
            <w:r w:rsidRPr="00DE2F00">
              <w:rPr>
                <w:rFonts w:ascii="Times New Roman" w:hAnsi="Times New Roman" w:cs="Times New Roman"/>
                <w:sz w:val="24"/>
                <w:szCs w:val="24"/>
                <w:lang w:val="bg-BG" w:bidi="en-US"/>
              </w:rPr>
              <w:t xml:space="preserve"> и Общински детски комплекс</w:t>
            </w:r>
          </w:p>
        </w:tc>
        <w:tc>
          <w:tcPr>
            <w:tcW w:w="538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220 от 25.07.2016 г.</w:t>
            </w:r>
          </w:p>
        </w:tc>
      </w:tr>
      <w:tr w:rsidR="00DE2F00" w:rsidRPr="00DE2F00" w:rsidTr="001D139A">
        <w:tc>
          <w:tcPr>
            <w:tcW w:w="538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Наредба за условията и реда за записване, отписване и преместване на деца в общинските ДГ на територията на община Тетевен</w:t>
            </w:r>
          </w:p>
        </w:tc>
        <w:tc>
          <w:tcPr>
            <w:tcW w:w="538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258 от 29.08.2016 г.</w:t>
            </w:r>
          </w:p>
        </w:tc>
      </w:tr>
      <w:tr w:rsidR="00DE2F00" w:rsidRPr="00DE2F00" w:rsidTr="001D139A">
        <w:tc>
          <w:tcPr>
            <w:tcW w:w="538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Наредба за създаване и водене на регистър на общинските ДГ и Центъра за подкрепа за личностно развитие</w:t>
            </w:r>
          </w:p>
        </w:tc>
        <w:tc>
          <w:tcPr>
            <w:tcW w:w="538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306 от 14.10.2016 г.</w:t>
            </w:r>
          </w:p>
        </w:tc>
      </w:tr>
      <w:tr w:rsidR="00DE2F00" w:rsidRPr="00DE2F00" w:rsidTr="001D139A">
        <w:tc>
          <w:tcPr>
            <w:tcW w:w="538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Наредба за условията и реда за организиране на почасови, съботно-неделни и сезонни дейности, като допълнителна услуга по отглеждане на децата в общинските детски градини</w:t>
            </w:r>
          </w:p>
        </w:tc>
        <w:tc>
          <w:tcPr>
            <w:tcW w:w="538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311 от 29.11.2016 г.</w:t>
            </w:r>
          </w:p>
        </w:tc>
      </w:tr>
      <w:tr w:rsidR="00DE2F00" w:rsidRPr="00DE2F00" w:rsidTr="001D139A">
        <w:tc>
          <w:tcPr>
            <w:tcW w:w="538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Изменение на наредбата за условията и реда за записване, отписване и преместване на деца в общинските ДГ</w:t>
            </w:r>
          </w:p>
        </w:tc>
        <w:tc>
          <w:tcPr>
            <w:tcW w:w="538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509 от 18.05.2017 г.</w:t>
            </w:r>
          </w:p>
        </w:tc>
      </w:tr>
      <w:tr w:rsidR="00DE2F00" w:rsidRPr="00DE2F00" w:rsidTr="001D139A">
        <w:tc>
          <w:tcPr>
            <w:tcW w:w="538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Заповед на Кмета на община Тетевен за работа на детските градини през летните месеци</w:t>
            </w:r>
          </w:p>
        </w:tc>
        <w:tc>
          <w:tcPr>
            <w:tcW w:w="538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Заповед № 22 от 17.01.2017 г.</w:t>
            </w:r>
          </w:p>
        </w:tc>
      </w:tr>
    </w:tbl>
    <w:p w:rsidR="00DE2F00" w:rsidRPr="00DE2F00" w:rsidRDefault="00DE2F00" w:rsidP="00DE2F00">
      <w:pPr>
        <w:pStyle w:val="ListParagraph"/>
        <w:ind w:left="0"/>
        <w:jc w:val="both"/>
        <w:rPr>
          <w:rFonts w:ascii="Times New Roman" w:hAnsi="Times New Roman" w:cs="Times New Roman"/>
          <w:sz w:val="24"/>
          <w:szCs w:val="24"/>
          <w:lang w:val="bg-BG" w:bidi="en-US"/>
        </w:rPr>
      </w:pP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На основание Постановление № 121 на МС от 23.06.2017 г. за приемане на критерии за определяне на защитени детски градини и защитени училища и на условия и ред за тяхното допълнително финансиране, постъпи  предложение от директорките на ДГ „Незабравка“ – гр. Тетевен за Изнесена група – с. Рибарица и </w:t>
      </w: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xml:space="preserve">. група – с. Бабинци и ДГ „Слънце“ – с. Градежница за Изнесена група – с. Черни Вит да бъдат включени в Списъка на защитените детски градини, тъй като отговарят на критериите за такива . Предложението беше внесено в  </w:t>
      </w:r>
      <w:proofErr w:type="spellStart"/>
      <w:r w:rsidRPr="00DE2F00">
        <w:rPr>
          <w:rFonts w:ascii="Times New Roman" w:hAnsi="Times New Roman" w:cs="Times New Roman"/>
          <w:sz w:val="24"/>
          <w:szCs w:val="24"/>
          <w:lang w:val="bg-BG" w:bidi="en-US"/>
        </w:rPr>
        <w:t>ОбС</w:t>
      </w:r>
      <w:proofErr w:type="spellEnd"/>
      <w:r w:rsidRPr="00DE2F00">
        <w:rPr>
          <w:rFonts w:ascii="Times New Roman" w:hAnsi="Times New Roman" w:cs="Times New Roman"/>
          <w:sz w:val="24"/>
          <w:szCs w:val="24"/>
          <w:lang w:val="bg-BG" w:bidi="en-US"/>
        </w:rPr>
        <w:t xml:space="preserve"> – Тетевен  и той излезе с Решение № 566 от 20.07.2017 г. ДГ „Незабравка“ – гр. Тетевен за Изнесена група – с. Рибарица и </w:t>
      </w: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група – с. Бабинци и ДГ „Слънце“ – с. Градежница за Изнесена група – с. Черни Вит да бъдат включени в Списъка на защитените детски градини за учебната 2017/2018 г.</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Основен приоритет в държавната образователна </w:t>
      </w:r>
      <w:proofErr w:type="spellStart"/>
      <w:r w:rsidRPr="00DE2F00">
        <w:rPr>
          <w:rFonts w:ascii="Times New Roman" w:hAnsi="Times New Roman" w:cs="Times New Roman"/>
          <w:sz w:val="24"/>
          <w:szCs w:val="24"/>
          <w:lang w:val="bg-BG" w:bidi="en-US"/>
        </w:rPr>
        <w:t>политка</w:t>
      </w:r>
      <w:proofErr w:type="spellEnd"/>
      <w:r w:rsidRPr="00DE2F00">
        <w:rPr>
          <w:rFonts w:ascii="Times New Roman" w:hAnsi="Times New Roman" w:cs="Times New Roman"/>
          <w:sz w:val="24"/>
          <w:szCs w:val="24"/>
          <w:lang w:val="bg-BG" w:bidi="en-US"/>
        </w:rPr>
        <w:t xml:space="preserve"> е всяко дете да посещава детска градина и училище, за да получи добро образование. Обхватът на децата в подготвителните групи на детските градини на територията на община Тетевен е оптимален и не се регистрират затруднения.</w:t>
      </w:r>
    </w:p>
    <w:p w:rsidR="00DE2F00" w:rsidRPr="00DE2F00" w:rsidRDefault="00DE2F00" w:rsidP="00DE2F00">
      <w:pPr>
        <w:pStyle w:val="ListParagraph"/>
        <w:ind w:left="0"/>
        <w:jc w:val="both"/>
        <w:rPr>
          <w:rFonts w:ascii="Times New Roman" w:hAnsi="Times New Roman" w:cs="Times New Roman"/>
          <w:sz w:val="24"/>
          <w:szCs w:val="24"/>
          <w:u w:val="single"/>
          <w:lang w:val="bg-BG" w:bidi="en-US"/>
        </w:rPr>
      </w:pPr>
    </w:p>
    <w:p w:rsidR="00DE2F00" w:rsidRPr="00DE2F00" w:rsidRDefault="00DE2F00" w:rsidP="00DE2F00">
      <w:pPr>
        <w:pStyle w:val="ListParagraph"/>
        <w:ind w:left="0"/>
        <w:jc w:val="both"/>
        <w:rPr>
          <w:rFonts w:ascii="Times New Roman" w:hAnsi="Times New Roman" w:cs="Times New Roman"/>
          <w:i/>
          <w:sz w:val="24"/>
          <w:szCs w:val="24"/>
          <w:lang w:val="bg-BG" w:bidi="en-US"/>
        </w:rPr>
      </w:pPr>
      <w:r w:rsidRPr="00DE2F00">
        <w:rPr>
          <w:rFonts w:ascii="Times New Roman" w:hAnsi="Times New Roman" w:cs="Times New Roman"/>
          <w:i/>
          <w:sz w:val="24"/>
          <w:szCs w:val="24"/>
          <w:lang w:val="bg-BG" w:bidi="en-US"/>
        </w:rPr>
        <w:t>Брой деца и брой групи:</w:t>
      </w:r>
    </w:p>
    <w:p w:rsidR="00DE2F00" w:rsidRPr="00DE2F00" w:rsidRDefault="00DE2F00" w:rsidP="00DE2F00">
      <w:pPr>
        <w:pStyle w:val="ListParagraph"/>
        <w:ind w:left="0"/>
        <w:jc w:val="both"/>
        <w:rPr>
          <w:rFonts w:ascii="Times New Roman" w:hAnsi="Times New Roman" w:cs="Times New Roman"/>
          <w:i/>
          <w:sz w:val="24"/>
          <w:szCs w:val="24"/>
          <w:u w:val="single"/>
          <w:lang w:val="bg-BG"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28"/>
        <w:gridCol w:w="1638"/>
        <w:gridCol w:w="2007"/>
        <w:gridCol w:w="1576"/>
      </w:tblGrid>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Наименование </w:t>
            </w:r>
          </w:p>
        </w:tc>
        <w:tc>
          <w:tcPr>
            <w:tcW w:w="4159" w:type="dxa"/>
            <w:gridSpan w:val="2"/>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 Учебната 2016 / 2017 г.</w:t>
            </w:r>
          </w:p>
        </w:tc>
        <w:tc>
          <w:tcPr>
            <w:tcW w:w="3944" w:type="dxa"/>
            <w:gridSpan w:val="2"/>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Учебната 2017 / 2018г.</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Брой групи</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Брой деца</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Брой групи</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Брой деца</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ДГ „Васил Левски“-Тетевен</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4</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103</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5</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120</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група – с. Гложене</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18</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13</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ДГ Незабравка“-Тетевен</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4</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73</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4</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74</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група – с. Рибарица</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17</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12</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група- - с. Бабинци</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19</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19</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ДГ „Детелина -Тетевен</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3</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64</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3</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66</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група „</w:t>
            </w:r>
            <w:proofErr w:type="spellStart"/>
            <w:r w:rsidRPr="00DE2F00">
              <w:rPr>
                <w:rFonts w:ascii="Times New Roman" w:hAnsi="Times New Roman" w:cs="Times New Roman"/>
                <w:sz w:val="24"/>
                <w:szCs w:val="24"/>
                <w:lang w:val="bg-BG" w:bidi="en-US"/>
              </w:rPr>
              <w:t>Свещаров</w:t>
            </w:r>
            <w:proofErr w:type="spellEnd"/>
            <w:r w:rsidRPr="00DE2F00">
              <w:rPr>
                <w:rFonts w:ascii="Times New Roman" w:hAnsi="Times New Roman" w:cs="Times New Roman"/>
                <w:sz w:val="24"/>
                <w:szCs w:val="24"/>
                <w:lang w:val="bg-BG" w:bidi="en-US"/>
              </w:rPr>
              <w:t>“-Тетевен</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18</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20</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xml:space="preserve">. група – кв. </w:t>
            </w:r>
            <w:proofErr w:type="spellStart"/>
            <w:r w:rsidRPr="00DE2F00">
              <w:rPr>
                <w:rFonts w:ascii="Times New Roman" w:hAnsi="Times New Roman" w:cs="Times New Roman"/>
                <w:sz w:val="24"/>
                <w:szCs w:val="24"/>
                <w:lang w:val="bg-BG" w:bidi="en-US"/>
              </w:rPr>
              <w:t>Полатен</w:t>
            </w:r>
            <w:proofErr w:type="spellEnd"/>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20</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20</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ДГ Здравец“ – с. Галата</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4</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117</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4</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115</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група – с. Български извор</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2</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49</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2</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51</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ДГ „Слънце“ – с. Градежница</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3</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61</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3</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57</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група – с. Черни Вит</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10</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1</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8</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ДГ „Изгрев“ – с. Глогово</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4</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63</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4</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55</w:t>
            </w:r>
          </w:p>
        </w:tc>
      </w:tr>
      <w:tr w:rsidR="00DE2F00" w:rsidRPr="00DE2F00" w:rsidTr="001D139A">
        <w:tc>
          <w:tcPr>
            <w:tcW w:w="2245"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ОБЩО</w:t>
            </w:r>
          </w:p>
        </w:tc>
        <w:tc>
          <w:tcPr>
            <w:tcW w:w="2360"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30</w:t>
            </w:r>
          </w:p>
        </w:tc>
        <w:tc>
          <w:tcPr>
            <w:tcW w:w="1799"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632</w:t>
            </w:r>
          </w:p>
        </w:tc>
        <w:tc>
          <w:tcPr>
            <w:tcW w:w="2218"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30</w:t>
            </w:r>
          </w:p>
        </w:tc>
        <w:tc>
          <w:tcPr>
            <w:tcW w:w="1726" w:type="dxa"/>
            <w:shd w:val="clear" w:color="auto" w:fill="auto"/>
          </w:tcPr>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630</w:t>
            </w:r>
          </w:p>
        </w:tc>
      </w:tr>
    </w:tbl>
    <w:p w:rsidR="00DE2F00" w:rsidRPr="00DE2F00" w:rsidRDefault="00DE2F00" w:rsidP="00DE2F00">
      <w:pPr>
        <w:pStyle w:val="ListParagraph"/>
        <w:ind w:left="0"/>
        <w:jc w:val="both"/>
        <w:rPr>
          <w:rFonts w:ascii="Times New Roman" w:hAnsi="Times New Roman" w:cs="Times New Roman"/>
          <w:sz w:val="24"/>
          <w:szCs w:val="24"/>
          <w:lang w:val="bg-BG" w:bidi="en-US"/>
        </w:rPr>
      </w:pP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През учебната 2016/2017 г. в детските градини са обхванати 632 деца в 30 групи, а записани за новата учебна година са 630 деца, само с две по-малко, като тенденцията е броя на записаните деца да се увеличи след 01 септември 2017 г.</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Всички групи отговарят на Наредба № 7 от 2000 г. за </w:t>
      </w:r>
      <w:proofErr w:type="spellStart"/>
      <w:r w:rsidRPr="00DE2F00">
        <w:rPr>
          <w:rFonts w:ascii="Times New Roman" w:hAnsi="Times New Roman" w:cs="Times New Roman"/>
          <w:sz w:val="24"/>
          <w:szCs w:val="24"/>
          <w:lang w:val="bg-BG" w:bidi="en-US"/>
        </w:rPr>
        <w:t>пълняемост</w:t>
      </w:r>
      <w:proofErr w:type="spellEnd"/>
      <w:r w:rsidRPr="00DE2F00">
        <w:rPr>
          <w:rFonts w:ascii="Times New Roman" w:hAnsi="Times New Roman" w:cs="Times New Roman"/>
          <w:sz w:val="24"/>
          <w:szCs w:val="24"/>
          <w:lang w:val="bg-BG" w:bidi="en-US"/>
        </w:rPr>
        <w:t xml:space="preserve"> с изключение на </w:t>
      </w:r>
      <w:proofErr w:type="spellStart"/>
      <w:r w:rsidRPr="00DE2F00">
        <w:rPr>
          <w:rFonts w:ascii="Times New Roman" w:hAnsi="Times New Roman" w:cs="Times New Roman"/>
          <w:sz w:val="24"/>
          <w:szCs w:val="24"/>
          <w:lang w:val="bg-BG" w:bidi="en-US"/>
        </w:rPr>
        <w:t>Изн</w:t>
      </w:r>
      <w:proofErr w:type="spellEnd"/>
      <w:r w:rsidRPr="00DE2F00">
        <w:rPr>
          <w:rFonts w:ascii="Times New Roman" w:hAnsi="Times New Roman" w:cs="Times New Roman"/>
          <w:sz w:val="24"/>
          <w:szCs w:val="24"/>
          <w:lang w:val="bg-BG" w:bidi="en-US"/>
        </w:rPr>
        <w:t>. група с. Черни Вит, поради което директорката е внесла предложение Об.С-Тетевен да я гласува за маломерна група.</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Към момента всички деца на 5 и 6-годишна възраст в общината, за които е задължително предучилищно образование са обхванати за учебната 2017/2018 г.  и ще  посещават подготвителните групи в детските градини.</w:t>
      </w:r>
    </w:p>
    <w:p w:rsidR="00DE2F00" w:rsidRPr="00DE2F00" w:rsidRDefault="00DE2F00" w:rsidP="00DE2F00">
      <w:pPr>
        <w:pStyle w:val="ListParagraph"/>
        <w:ind w:left="0"/>
        <w:jc w:val="both"/>
        <w:rPr>
          <w:rFonts w:ascii="Times New Roman" w:hAnsi="Times New Roman" w:cs="Times New Roman"/>
          <w:sz w:val="24"/>
          <w:szCs w:val="24"/>
          <w:lang w:val="bg-BG" w:bidi="en-US"/>
        </w:rPr>
      </w:pPr>
    </w:p>
    <w:p w:rsidR="00DE2F00" w:rsidRPr="00DE2F00" w:rsidRDefault="00DE2F00" w:rsidP="00A549ED">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bidi="en-US"/>
        </w:rPr>
        <w:tab/>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Обхватът на децата и учениците в подготвителните групи и първи клас е оптимален и не се регистрират затруднения. През последните години се наблюдава устойчивост в броя на желаещите родители децата им да посещават групите с целодневна организация на учебния процес, което е в следствие на постоянната работа и разяснителни кампании от страна на училищата с родителите на учениците.</w:t>
      </w:r>
      <w:r w:rsidRPr="00DE2F00">
        <w:rPr>
          <w:rFonts w:ascii="Times New Roman" w:hAnsi="Times New Roman" w:cs="Times New Roman"/>
          <w:sz w:val="24"/>
          <w:szCs w:val="24"/>
          <w:lang w:val="bg-BG" w:bidi="en-US"/>
        </w:rPr>
        <w:tab/>
        <w:t>През учебната 2016/2017 г. в училищата на община Тетевен са се обучавали 1948 ученици / с 39 ученици повече от учебната 2015/2016 г.</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Въпреки намаляване броя на учениците в паралелките и на децата в групите, поради демографски причини, в община Тетевен преждевременно напуснали образование и обучение през учебната 2016/2017 г. (18 – 24 навършени години) са само 2 ученици, а отпаднали от училище 12 ученици. Необхванати деца и ученици в задължителна предучилищна и училищна възраст на територията на община Тетевен няма. Откроява се обаче тенденцията за увеличаване броя на учениците, които не продължават да учат след основно образование и на деца заминаващи със семействата си в чужбина.</w:t>
      </w:r>
    </w:p>
    <w:p w:rsidR="00DE2F00" w:rsidRPr="00DE2F00" w:rsidRDefault="00DE2F00" w:rsidP="00DE2F00">
      <w:pPr>
        <w:pStyle w:val="ListParagraph"/>
        <w:ind w:left="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Предприетите мерки от страна на общината, училищните ръководства и на педагогическите специалисти  в хода на учебната 2016/2017г. и на подготовката за учебната 2017/2018 г.са:</w:t>
      </w:r>
    </w:p>
    <w:p w:rsidR="00DE2F00" w:rsidRPr="00DE2F00" w:rsidRDefault="00DE2F00" w:rsidP="004C1FE0">
      <w:pPr>
        <w:pStyle w:val="ListParagraph"/>
        <w:numPr>
          <w:ilvl w:val="0"/>
          <w:numId w:val="8"/>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Идентифициране на рисковите фактори за преждевременното напускане на училище с оглед ограничаване на последиците от тях;</w:t>
      </w:r>
    </w:p>
    <w:p w:rsidR="00DE2F00" w:rsidRPr="00DE2F00" w:rsidRDefault="00DE2F00" w:rsidP="004C1FE0">
      <w:pPr>
        <w:pStyle w:val="ListParagraph"/>
        <w:numPr>
          <w:ilvl w:val="0"/>
          <w:numId w:val="8"/>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Увеличаване на разнообразието и ефективността на механизмите и стимулите за включване в образование и обучение;</w:t>
      </w:r>
    </w:p>
    <w:p w:rsidR="00DE2F00" w:rsidRPr="00DE2F00" w:rsidRDefault="00DE2F00" w:rsidP="004C1FE0">
      <w:pPr>
        <w:pStyle w:val="ListParagraph"/>
        <w:numPr>
          <w:ilvl w:val="0"/>
          <w:numId w:val="8"/>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Изграждане на широко публично доверие и подкрепа за политиките за превенция и намаляване на преждевременното напускане на училище;</w:t>
      </w:r>
    </w:p>
    <w:p w:rsidR="00DE2F00" w:rsidRPr="00DE2F00" w:rsidRDefault="00DE2F00" w:rsidP="004C1FE0">
      <w:pPr>
        <w:pStyle w:val="ListParagraph"/>
        <w:numPr>
          <w:ilvl w:val="0"/>
          <w:numId w:val="8"/>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Създаване на условия за обща и допълнителна подкрепа на децата и учениците;</w:t>
      </w:r>
    </w:p>
    <w:p w:rsidR="00DE2F00" w:rsidRPr="00DE2F00" w:rsidRDefault="00DE2F00" w:rsidP="004C1FE0">
      <w:pPr>
        <w:pStyle w:val="ListParagraph"/>
        <w:numPr>
          <w:ilvl w:val="0"/>
          <w:numId w:val="8"/>
        </w:numPr>
        <w:ind w:left="0" w:firstLine="0"/>
        <w:jc w:val="both"/>
        <w:rPr>
          <w:rFonts w:ascii="Times New Roman" w:hAnsi="Times New Roman" w:cs="Times New Roman"/>
          <w:sz w:val="24"/>
          <w:szCs w:val="24"/>
          <w:lang w:val="bg-BG" w:bidi="en-US"/>
        </w:rPr>
      </w:pPr>
      <w:r w:rsidRPr="00DE2F00">
        <w:rPr>
          <w:rFonts w:ascii="Times New Roman" w:hAnsi="Times New Roman" w:cs="Times New Roman"/>
          <w:sz w:val="24"/>
          <w:szCs w:val="24"/>
          <w:lang w:val="bg-BG" w:bidi="en-US"/>
        </w:rPr>
        <w:t xml:space="preserve">Многократно посещаване на домовете на учениците от класните ръководители, педагогическите </w:t>
      </w:r>
      <w:proofErr w:type="spellStart"/>
      <w:r w:rsidRPr="00DE2F00">
        <w:rPr>
          <w:rFonts w:ascii="Times New Roman" w:hAnsi="Times New Roman" w:cs="Times New Roman"/>
          <w:sz w:val="24"/>
          <w:szCs w:val="24"/>
          <w:lang w:val="bg-BG" w:bidi="en-US"/>
        </w:rPr>
        <w:t>съветници</w:t>
      </w:r>
      <w:proofErr w:type="spellEnd"/>
      <w:r w:rsidRPr="00DE2F00">
        <w:rPr>
          <w:rFonts w:ascii="Times New Roman" w:hAnsi="Times New Roman" w:cs="Times New Roman"/>
          <w:sz w:val="24"/>
          <w:szCs w:val="24"/>
          <w:lang w:val="bg-BG" w:bidi="en-US"/>
        </w:rPr>
        <w:t xml:space="preserve"> и ръководството на училището и общината.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На основание Решение №373/05.07.2017 г. на МС се създаде Механизъм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на територията на община Тетевен са създадени четири екипа, наричани „екипи за обхват“, които обхващат следните райони: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w:t>
      </w:r>
      <w:r w:rsidRPr="00DE2F00">
        <w:rPr>
          <w:rFonts w:ascii="Times New Roman" w:hAnsi="Times New Roman" w:cs="Times New Roman"/>
          <w:sz w:val="24"/>
          <w:szCs w:val="24"/>
          <w:lang w:val="bg-BG"/>
        </w:rPr>
        <w:tab/>
        <w:t xml:space="preserve">      </w:t>
      </w:r>
      <w:proofErr w:type="gramStart"/>
      <w:r w:rsidRPr="00DE2F00">
        <w:rPr>
          <w:rFonts w:ascii="Times New Roman" w:hAnsi="Times New Roman" w:cs="Times New Roman"/>
          <w:sz w:val="24"/>
          <w:szCs w:val="24"/>
        </w:rPr>
        <w:t>I</w:t>
      </w:r>
      <w:r w:rsidRPr="00DE2F00">
        <w:rPr>
          <w:rFonts w:ascii="Times New Roman" w:hAnsi="Times New Roman" w:cs="Times New Roman"/>
          <w:sz w:val="24"/>
          <w:szCs w:val="24"/>
          <w:lang w:val="bg-BG"/>
        </w:rPr>
        <w:t xml:space="preserve"> екип -   гр.</w:t>
      </w:r>
      <w:proofErr w:type="gramEnd"/>
      <w:r w:rsidRPr="00DE2F00">
        <w:rPr>
          <w:rFonts w:ascii="Times New Roman" w:hAnsi="Times New Roman" w:cs="Times New Roman"/>
          <w:sz w:val="24"/>
          <w:szCs w:val="24"/>
          <w:lang w:val="bg-BG"/>
        </w:rPr>
        <w:t xml:space="preserve"> Тетевен /НУ „Хаджи Генчо“, ПГГСД „Сава Младенов“, ДГ „Васил Левски“ – с. Голям извор и с. Черни Вит;</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II екип - гр. Тетевен /СУ „Георги Бенковски“, ПГ по СЕУ, ДГ „Незабравка“, ДГ „Детелина“/ - с. Рибарица и с. Бабинци;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III екип – с. Глогово и с. Градежница;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IV екип - с. Галата, с. Български извор и с. Малка Желязна;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Въз основа на предложенията  на ръководителите на съответните институции началниците на регионалните управления на образованието в срок до 18 август 2017 г. определят със заповед ръководителите и състава на екипите.</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Можем да обобщим, че за учебната 2017/2018 г. подлежащите за записване в първи клас деца са 177 броя; за 2017/2018 г. за първи клас са записани 156 деца; за учебната 2016/2017 г. броят на отпадналите ученици е 7, а броят </w:t>
      </w:r>
      <w:proofErr w:type="spellStart"/>
      <w:r w:rsidRPr="00DE2F00">
        <w:rPr>
          <w:rFonts w:ascii="Times New Roman" w:hAnsi="Times New Roman" w:cs="Times New Roman"/>
          <w:sz w:val="24"/>
          <w:szCs w:val="24"/>
          <w:lang w:val="bg-BG"/>
        </w:rPr>
        <w:t>реинтегрирани</w:t>
      </w:r>
      <w:proofErr w:type="spellEnd"/>
      <w:r w:rsidRPr="00DE2F00">
        <w:rPr>
          <w:rFonts w:ascii="Times New Roman" w:hAnsi="Times New Roman" w:cs="Times New Roman"/>
          <w:sz w:val="24"/>
          <w:szCs w:val="24"/>
          <w:lang w:val="bg-BG"/>
        </w:rPr>
        <w:t xml:space="preserve"> – 47 ученици; незаписани за 2017/2018 г. – 21 ученици.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В контекста на образователната интеграция на </w:t>
      </w:r>
      <w:proofErr w:type="spellStart"/>
      <w:r w:rsidRPr="00DE2F00">
        <w:rPr>
          <w:rFonts w:ascii="Times New Roman" w:hAnsi="Times New Roman" w:cs="Times New Roman"/>
          <w:sz w:val="24"/>
          <w:szCs w:val="24"/>
          <w:lang w:val="bg-BG"/>
        </w:rPr>
        <w:t>най-маргинализираните</w:t>
      </w:r>
      <w:proofErr w:type="spellEnd"/>
      <w:r w:rsidRPr="00DE2F00">
        <w:rPr>
          <w:rFonts w:ascii="Times New Roman" w:hAnsi="Times New Roman" w:cs="Times New Roman"/>
          <w:sz w:val="24"/>
          <w:szCs w:val="24"/>
          <w:lang w:val="bg-BG"/>
        </w:rPr>
        <w:t xml:space="preserve"> общности  на територията на община Тетевен приоритетно се развиват целеви мерки, заложени в Плана за действие за подкрепа на интеграционните политики: обхващане на децата в риск от </w:t>
      </w:r>
      <w:proofErr w:type="spellStart"/>
      <w:r w:rsidRPr="00DE2F00">
        <w:rPr>
          <w:rFonts w:ascii="Times New Roman" w:hAnsi="Times New Roman" w:cs="Times New Roman"/>
          <w:sz w:val="24"/>
          <w:szCs w:val="24"/>
          <w:lang w:val="bg-BG"/>
        </w:rPr>
        <w:t>маргинализираните</w:t>
      </w:r>
      <w:proofErr w:type="spellEnd"/>
      <w:r w:rsidRPr="00DE2F00">
        <w:rPr>
          <w:rFonts w:ascii="Times New Roman" w:hAnsi="Times New Roman" w:cs="Times New Roman"/>
          <w:sz w:val="24"/>
          <w:szCs w:val="24"/>
          <w:lang w:val="bg-BG"/>
        </w:rPr>
        <w:t xml:space="preserve"> семейства в детски градини; записване и задържане на отпадналите деца в училище; подкрепа и осигуряване на допълнителни занятия за компенсиране на образователни неравенства; системна и последователна работа за приобщаване на родителите; мерки за ограмотяване на неграмотни и малограмотни възрастни роми; повишаване на капацитета на учителите в детските градини и училищата; програми за повишаване на качеството на образование.</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Може да се обобщи, че записването и задържането на отпаднали деца в училище е приоритетна и задължителна мярка с цел тяхната </w:t>
      </w:r>
      <w:proofErr w:type="spellStart"/>
      <w:r w:rsidRPr="00DE2F00">
        <w:rPr>
          <w:rFonts w:ascii="Times New Roman" w:hAnsi="Times New Roman" w:cs="Times New Roman"/>
          <w:sz w:val="24"/>
          <w:szCs w:val="24"/>
          <w:lang w:val="bg-BG"/>
        </w:rPr>
        <w:t>реинтеграция</w:t>
      </w:r>
      <w:proofErr w:type="spellEnd"/>
      <w:r w:rsidRPr="00DE2F00">
        <w:rPr>
          <w:rFonts w:ascii="Times New Roman" w:hAnsi="Times New Roman" w:cs="Times New Roman"/>
          <w:sz w:val="24"/>
          <w:szCs w:val="24"/>
          <w:lang w:val="bg-BG"/>
        </w:rPr>
        <w:t xml:space="preserve"> в образователната система. При </w:t>
      </w:r>
      <w:proofErr w:type="spellStart"/>
      <w:r w:rsidRPr="00DE2F00">
        <w:rPr>
          <w:rFonts w:ascii="Times New Roman" w:hAnsi="Times New Roman" w:cs="Times New Roman"/>
          <w:sz w:val="24"/>
          <w:szCs w:val="24"/>
          <w:lang w:val="bg-BG"/>
        </w:rPr>
        <w:t>маргинализираните</w:t>
      </w:r>
      <w:proofErr w:type="spellEnd"/>
      <w:r w:rsidRPr="00DE2F00">
        <w:rPr>
          <w:rFonts w:ascii="Times New Roman" w:hAnsi="Times New Roman" w:cs="Times New Roman"/>
          <w:sz w:val="24"/>
          <w:szCs w:val="24"/>
          <w:lang w:val="bg-BG"/>
        </w:rPr>
        <w:t xml:space="preserve"> семейства обикновено се налага продължителна социална и </w:t>
      </w:r>
      <w:proofErr w:type="spellStart"/>
      <w:r w:rsidRPr="00DE2F00">
        <w:rPr>
          <w:rFonts w:ascii="Times New Roman" w:hAnsi="Times New Roman" w:cs="Times New Roman"/>
          <w:sz w:val="24"/>
          <w:szCs w:val="24"/>
          <w:lang w:val="bg-BG"/>
        </w:rPr>
        <w:t>общностна</w:t>
      </w:r>
      <w:proofErr w:type="spellEnd"/>
      <w:r w:rsidRPr="00DE2F00">
        <w:rPr>
          <w:rFonts w:ascii="Times New Roman" w:hAnsi="Times New Roman" w:cs="Times New Roman"/>
          <w:sz w:val="24"/>
          <w:szCs w:val="24"/>
          <w:lang w:val="bg-BG"/>
        </w:rPr>
        <w:t xml:space="preserve"> работа за мотивиране на децата и родителите, посредничество и придружаване за подготовка на документи и записване в училище.</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Характерно за ромското население е ниската здравна култура и ненавременното търсене на медицинска помощ. Нарастващата безработица сред етноса е причина за твърде високия относителен дял на здравно неосигурени лица – около 80%. При необходимост голяма част от тях не могат да се лекуват в болница поради невъзможност за заплащане на таксата за болничен престой.</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Характерно е също и ниската възраст, в която жените ромки стават майки. Тревожен е фактът, че бременните ромки не посещават женска консултация през периода на бременността и това до голяма степен носи риск не само за тях, но и за тяхното дете. На основание Разрешение за осъществяване на лечебна дейност №МБ-185/21.12.2015 на Министъра на здравеопазването в„ МБАЛ Тетевен д-р Ангел Пешев” ЕООД не се осъществява дейност по специалностите „акушерство и гинекология“ и „</w:t>
      </w:r>
      <w:proofErr w:type="spellStart"/>
      <w:r w:rsidRPr="00DE2F00">
        <w:rPr>
          <w:rFonts w:ascii="Times New Roman" w:hAnsi="Times New Roman" w:cs="Times New Roman"/>
          <w:sz w:val="24"/>
          <w:szCs w:val="24"/>
          <w:lang w:val="bg-BG"/>
        </w:rPr>
        <w:t>неонатология</w:t>
      </w:r>
      <w:proofErr w:type="spellEnd"/>
      <w:r w:rsidRPr="00DE2F00">
        <w:rPr>
          <w:rFonts w:ascii="Times New Roman" w:hAnsi="Times New Roman" w:cs="Times New Roman"/>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Най – честите заболявания на лицата от ромски произход са</w:t>
      </w:r>
      <w:r w:rsidR="004700BC">
        <w:rPr>
          <w:rFonts w:ascii="Times New Roman" w:hAnsi="Times New Roman" w:cs="Times New Roman"/>
          <w:sz w:val="24"/>
          <w:szCs w:val="24"/>
          <w:lang w:val="bg-BG"/>
        </w:rPr>
        <w:t>:</w:t>
      </w:r>
      <w:r w:rsidRPr="00DE2F00">
        <w:rPr>
          <w:rFonts w:ascii="Times New Roman" w:hAnsi="Times New Roman" w:cs="Times New Roman"/>
          <w:sz w:val="24"/>
          <w:szCs w:val="24"/>
          <w:lang w:val="bg-BG"/>
        </w:rPr>
        <w:t xml:space="preserve">  на дихателната система, следвани от заболявания на храносмилателната, травми и наранявания.</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Близо 90 % от приетите в Детско отделение са деца от ромски произход със заболявания на дихателната и на храносмилателната система.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Няма наличие на данни за мероприятия, свързани с превенцията на ХИВ, СПИН, туберкулоза и сексуално предавани инфекции в общината.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Приоритетен проблем, отразен в Плана за действие на община Тетевен, е дългосрочната безработица, която води до загуба на трудови навици и съответно до по – ниски възможности за излизане от кръга на социална изолация. Специален фокус за осигуряване на достъп до заетост и доходи на най – </w:t>
      </w:r>
      <w:proofErr w:type="spellStart"/>
      <w:r w:rsidRPr="00DE2F00">
        <w:rPr>
          <w:rFonts w:ascii="Times New Roman" w:hAnsi="Times New Roman" w:cs="Times New Roman"/>
          <w:sz w:val="24"/>
          <w:szCs w:val="24"/>
          <w:lang w:val="bg-BG"/>
        </w:rPr>
        <w:t>маргинализираните</w:t>
      </w:r>
      <w:proofErr w:type="spellEnd"/>
      <w:r w:rsidRPr="00DE2F00">
        <w:rPr>
          <w:rFonts w:ascii="Times New Roman" w:hAnsi="Times New Roman" w:cs="Times New Roman"/>
          <w:sz w:val="24"/>
          <w:szCs w:val="24"/>
          <w:lang w:val="bg-BG"/>
        </w:rPr>
        <w:t xml:space="preserve"> общности се поставя върху: мотивационни и квалификационни курсове; обхващане на най – уязвимите в програми за ограмотяване; субсидирана заетост; посредничество и подкрепа за осигуряване на достъп до заетост и доходи.</w:t>
      </w: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i/>
          <w:sz w:val="24"/>
          <w:szCs w:val="24"/>
          <w:u w:val="single"/>
          <w:lang w:val="bg-BG"/>
        </w:rPr>
      </w:pPr>
      <w:r w:rsidRPr="00DE2F00">
        <w:rPr>
          <w:rFonts w:ascii="Times New Roman" w:hAnsi="Times New Roman" w:cs="Times New Roman"/>
          <w:i/>
          <w:sz w:val="24"/>
          <w:szCs w:val="24"/>
          <w:u w:val="single"/>
          <w:lang w:val="bg-BG"/>
        </w:rPr>
        <w:t>Профил на безработните лица :</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жените</w:t>
      </w:r>
      <w:proofErr w:type="spellEnd"/>
      <w:r w:rsidRPr="00DE2F00">
        <w:rPr>
          <w:rFonts w:ascii="Times New Roman" w:hAnsi="Times New Roman" w:cs="Times New Roman"/>
          <w:sz w:val="24"/>
          <w:szCs w:val="24"/>
        </w:rPr>
        <w:t xml:space="preserve"> в </w:t>
      </w:r>
      <w:proofErr w:type="spellStart"/>
      <w:r w:rsidRPr="00DE2F00">
        <w:rPr>
          <w:rFonts w:ascii="Times New Roman" w:hAnsi="Times New Roman" w:cs="Times New Roman"/>
          <w:sz w:val="24"/>
          <w:szCs w:val="24"/>
        </w:rPr>
        <w:t>общата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съвкупност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регистрираните безработни лица</w:t>
      </w:r>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са</w:t>
      </w:r>
      <w:proofErr w:type="spellEnd"/>
      <w:r w:rsidRPr="00DE2F00">
        <w:rPr>
          <w:rFonts w:ascii="Times New Roman" w:hAnsi="Times New Roman" w:cs="Times New Roman"/>
          <w:sz w:val="24"/>
          <w:szCs w:val="24"/>
        </w:rPr>
        <w:t xml:space="preserve"> с </w:t>
      </w:r>
      <w:proofErr w:type="spellStart"/>
      <w:r w:rsidRPr="00DE2F00">
        <w:rPr>
          <w:rFonts w:ascii="Times New Roman" w:hAnsi="Times New Roman" w:cs="Times New Roman"/>
          <w:sz w:val="24"/>
          <w:szCs w:val="24"/>
        </w:rPr>
        <w:t>относителен</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дял</w:t>
      </w:r>
      <w:proofErr w:type="spellEnd"/>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над 52</w:t>
      </w:r>
      <w:r w:rsidRPr="00DE2F00">
        <w:rPr>
          <w:rFonts w:ascii="Times New Roman" w:hAnsi="Times New Roman" w:cs="Times New Roman"/>
          <w:sz w:val="24"/>
          <w:szCs w:val="24"/>
        </w:rPr>
        <w:t>%;</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младежите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до</w:t>
      </w:r>
      <w:proofErr w:type="spellEnd"/>
      <w:r w:rsidRPr="00DE2F00">
        <w:rPr>
          <w:rFonts w:ascii="Times New Roman" w:hAnsi="Times New Roman" w:cs="Times New Roman"/>
          <w:sz w:val="24"/>
          <w:szCs w:val="24"/>
        </w:rPr>
        <w:t xml:space="preserve"> 29 г. </w:t>
      </w:r>
      <w:proofErr w:type="spellStart"/>
      <w:r w:rsidRPr="00DE2F00">
        <w:rPr>
          <w:rFonts w:ascii="Times New Roman" w:hAnsi="Times New Roman" w:cs="Times New Roman"/>
          <w:sz w:val="24"/>
          <w:szCs w:val="24"/>
        </w:rPr>
        <w:t>съставляват</w:t>
      </w:r>
      <w:proofErr w:type="spellEnd"/>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12-13</w:t>
      </w:r>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регистрираните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безработни</w:t>
      </w:r>
      <w:proofErr w:type="spellEnd"/>
      <w:r w:rsidRPr="00DE2F00">
        <w:rPr>
          <w:rFonts w:ascii="Times New Roman" w:hAnsi="Times New Roman" w:cs="Times New Roman"/>
          <w:sz w:val="24"/>
          <w:szCs w:val="24"/>
        </w:rPr>
        <w:t xml:space="preserve"> в </w:t>
      </w:r>
      <w:proofErr w:type="spellStart"/>
      <w:r w:rsidRPr="00DE2F00">
        <w:rPr>
          <w:rFonts w:ascii="Times New Roman" w:hAnsi="Times New Roman" w:cs="Times New Roman"/>
          <w:sz w:val="24"/>
          <w:szCs w:val="24"/>
        </w:rPr>
        <w:t>об</w:t>
      </w:r>
      <w:r w:rsidRPr="00DE2F00">
        <w:rPr>
          <w:rFonts w:ascii="Times New Roman" w:hAnsi="Times New Roman" w:cs="Times New Roman"/>
          <w:sz w:val="24"/>
          <w:szCs w:val="24"/>
          <w:lang w:val="bg-BG"/>
        </w:rPr>
        <w:t>щината</w:t>
      </w:r>
      <w:proofErr w:type="spellEnd"/>
      <w:r w:rsidRPr="00DE2F00">
        <w:rPr>
          <w:rFonts w:ascii="Times New Roman" w:hAnsi="Times New Roman" w:cs="Times New Roman"/>
          <w:sz w:val="24"/>
          <w:szCs w:val="24"/>
        </w:rPr>
        <w:t>;</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делът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специалистите</w:t>
      </w:r>
      <w:proofErr w:type="spellEnd"/>
      <w:r w:rsidRPr="00DE2F00">
        <w:rPr>
          <w:rFonts w:ascii="Times New Roman" w:hAnsi="Times New Roman" w:cs="Times New Roman"/>
          <w:sz w:val="24"/>
          <w:szCs w:val="24"/>
        </w:rPr>
        <w:t xml:space="preserve"> с </w:t>
      </w:r>
      <w:proofErr w:type="spellStart"/>
      <w:r w:rsidRPr="00DE2F00">
        <w:rPr>
          <w:rFonts w:ascii="Times New Roman" w:hAnsi="Times New Roman" w:cs="Times New Roman"/>
          <w:sz w:val="24"/>
          <w:szCs w:val="24"/>
        </w:rPr>
        <w:t>висше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образование</w:t>
      </w:r>
      <w:proofErr w:type="spellEnd"/>
      <w:r w:rsidRPr="00DE2F00">
        <w:rPr>
          <w:rFonts w:ascii="Times New Roman" w:hAnsi="Times New Roman" w:cs="Times New Roman"/>
          <w:sz w:val="24"/>
          <w:szCs w:val="24"/>
        </w:rPr>
        <w:t xml:space="preserve"> в </w:t>
      </w:r>
      <w:proofErr w:type="spellStart"/>
      <w:r w:rsidRPr="00DE2F00">
        <w:rPr>
          <w:rFonts w:ascii="Times New Roman" w:hAnsi="Times New Roman" w:cs="Times New Roman"/>
          <w:sz w:val="24"/>
          <w:szCs w:val="24"/>
        </w:rPr>
        <w:t>общата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съвкупност</w:t>
      </w:r>
      <w:proofErr w:type="spellEnd"/>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варира между 5-9</w:t>
      </w:r>
      <w:r w:rsidRPr="00DE2F00">
        <w:rPr>
          <w:rFonts w:ascii="Times New Roman" w:hAnsi="Times New Roman" w:cs="Times New Roman"/>
          <w:sz w:val="24"/>
          <w:szCs w:val="24"/>
        </w:rPr>
        <w:t>%;</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лицата</w:t>
      </w:r>
      <w:proofErr w:type="spellEnd"/>
      <w:r w:rsidRPr="00DE2F00">
        <w:rPr>
          <w:rFonts w:ascii="Times New Roman" w:hAnsi="Times New Roman" w:cs="Times New Roman"/>
          <w:sz w:val="24"/>
          <w:szCs w:val="24"/>
        </w:rPr>
        <w:t xml:space="preserve"> с </w:t>
      </w:r>
      <w:proofErr w:type="spellStart"/>
      <w:r w:rsidRPr="00DE2F00">
        <w:rPr>
          <w:rFonts w:ascii="Times New Roman" w:hAnsi="Times New Roman" w:cs="Times New Roman"/>
          <w:sz w:val="24"/>
          <w:szCs w:val="24"/>
        </w:rPr>
        <w:t>намалена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работоспособност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са</w:t>
      </w:r>
      <w:proofErr w:type="spellEnd"/>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4-5</w:t>
      </w:r>
      <w:r w:rsidRPr="00DE2F00">
        <w:rPr>
          <w:rFonts w:ascii="Times New Roman" w:hAnsi="Times New Roman" w:cs="Times New Roman"/>
          <w:sz w:val="24"/>
          <w:szCs w:val="24"/>
        </w:rPr>
        <w:t xml:space="preserve"> %;</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r w:rsidRPr="00DE2F00">
        <w:rPr>
          <w:rFonts w:ascii="Times New Roman" w:hAnsi="Times New Roman" w:cs="Times New Roman"/>
          <w:sz w:val="24"/>
          <w:szCs w:val="24"/>
        </w:rPr>
        <w:t xml:space="preserve">в </w:t>
      </w:r>
      <w:proofErr w:type="spellStart"/>
      <w:r w:rsidRPr="00DE2F00">
        <w:rPr>
          <w:rFonts w:ascii="Times New Roman" w:hAnsi="Times New Roman" w:cs="Times New Roman"/>
          <w:sz w:val="24"/>
          <w:szCs w:val="24"/>
        </w:rPr>
        <w:t>разпределението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професионален</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признак</w:t>
      </w:r>
      <w:proofErr w:type="spellEnd"/>
      <w:r w:rsidRPr="00DE2F00">
        <w:rPr>
          <w:rFonts w:ascii="Times New Roman" w:hAnsi="Times New Roman" w:cs="Times New Roman"/>
          <w:sz w:val="24"/>
          <w:szCs w:val="24"/>
        </w:rPr>
        <w:t xml:space="preserve"> с </w:t>
      </w:r>
      <w:proofErr w:type="spellStart"/>
      <w:r w:rsidRPr="00DE2F00">
        <w:rPr>
          <w:rFonts w:ascii="Times New Roman" w:hAnsi="Times New Roman" w:cs="Times New Roman"/>
          <w:sz w:val="24"/>
          <w:szCs w:val="24"/>
        </w:rPr>
        <w:t>най-голям</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дял</w:t>
      </w:r>
      <w:proofErr w:type="spellEnd"/>
      <w:r w:rsidRPr="00DE2F00">
        <w:rPr>
          <w:rFonts w:ascii="Times New Roman" w:hAnsi="Times New Roman" w:cs="Times New Roman"/>
          <w:sz w:val="24"/>
          <w:szCs w:val="24"/>
        </w:rPr>
        <w:t xml:space="preserve"> е </w:t>
      </w:r>
      <w:proofErr w:type="spellStart"/>
      <w:r w:rsidRPr="00DE2F00">
        <w:rPr>
          <w:rFonts w:ascii="Times New Roman" w:hAnsi="Times New Roman" w:cs="Times New Roman"/>
          <w:sz w:val="24"/>
          <w:szCs w:val="24"/>
        </w:rPr>
        <w:t>групата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лицата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без</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специалност</w:t>
      </w:r>
      <w:proofErr w:type="spellEnd"/>
      <w:r w:rsidRPr="00DE2F00">
        <w:rPr>
          <w:rFonts w:ascii="Times New Roman" w:hAnsi="Times New Roman" w:cs="Times New Roman"/>
          <w:sz w:val="24"/>
          <w:szCs w:val="24"/>
          <w:lang w:val="bg-BG"/>
        </w:rPr>
        <w:t xml:space="preserve"> и квалификация</w:t>
      </w:r>
      <w:r w:rsidRPr="00DE2F00">
        <w:rPr>
          <w:rFonts w:ascii="Times New Roman" w:hAnsi="Times New Roman" w:cs="Times New Roman"/>
          <w:sz w:val="24"/>
          <w:szCs w:val="24"/>
        </w:rPr>
        <w:t xml:space="preserve"> – </w:t>
      </w:r>
      <w:proofErr w:type="spellStart"/>
      <w:r w:rsidRPr="00DE2F00">
        <w:rPr>
          <w:rFonts w:ascii="Times New Roman" w:hAnsi="Times New Roman" w:cs="Times New Roman"/>
          <w:sz w:val="24"/>
          <w:szCs w:val="24"/>
        </w:rPr>
        <w:t>за</w:t>
      </w:r>
      <w:proofErr w:type="spellEnd"/>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община Тетевен</w:t>
      </w:r>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те</w:t>
      </w:r>
      <w:proofErr w:type="spellEnd"/>
      <w:r w:rsidRPr="00DE2F00">
        <w:rPr>
          <w:rFonts w:ascii="Times New Roman" w:hAnsi="Times New Roman" w:cs="Times New Roman"/>
          <w:sz w:val="24"/>
          <w:szCs w:val="24"/>
          <w:lang w:val="bg-BG"/>
        </w:rPr>
        <w:t xml:space="preserve"> са над 60</w:t>
      </w:r>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 xml:space="preserve"> /предимно от ромски произход/</w:t>
      </w:r>
      <w:r w:rsidRPr="00DE2F00">
        <w:rPr>
          <w:rFonts w:ascii="Times New Roman" w:hAnsi="Times New Roman" w:cs="Times New Roman"/>
          <w:sz w:val="24"/>
          <w:szCs w:val="24"/>
        </w:rPr>
        <w:t>;</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r w:rsidRPr="00DE2F00">
        <w:rPr>
          <w:rFonts w:ascii="Times New Roman" w:hAnsi="Times New Roman" w:cs="Times New Roman"/>
          <w:sz w:val="24"/>
          <w:szCs w:val="24"/>
          <w:lang w:val="bg-BG"/>
        </w:rPr>
        <w:t>лицата с основно и по-ниско образование също преобладават – 50% от общия брой регистрирани лица /основно от ромски произход/;</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r w:rsidRPr="00DE2F00">
        <w:rPr>
          <w:rFonts w:ascii="Times New Roman" w:hAnsi="Times New Roman" w:cs="Times New Roman"/>
          <w:sz w:val="24"/>
          <w:szCs w:val="24"/>
          <w:lang w:val="bg-BG"/>
        </w:rPr>
        <w:t>регистрираните безработни лица с работнически професии са 25% от общия брой;</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r w:rsidRPr="00DE2F00">
        <w:rPr>
          <w:rFonts w:ascii="Times New Roman" w:hAnsi="Times New Roman" w:cs="Times New Roman"/>
          <w:sz w:val="24"/>
          <w:szCs w:val="24"/>
          <w:lang w:val="bg-BG"/>
        </w:rPr>
        <w:t>регистрираните специалисти са 13% от безработните лица;</w:t>
      </w:r>
    </w:p>
    <w:p w:rsidR="00DE2F00" w:rsidRPr="00DE2F00" w:rsidRDefault="00DE2F00" w:rsidP="004C1FE0">
      <w:pPr>
        <w:pStyle w:val="ListParagraph"/>
        <w:numPr>
          <w:ilvl w:val="0"/>
          <w:numId w:val="9"/>
        </w:numPr>
        <w:ind w:left="0" w:firstLine="0"/>
        <w:jc w:val="both"/>
        <w:rPr>
          <w:rFonts w:ascii="Times New Roman" w:hAnsi="Times New Roman" w:cs="Times New Roman"/>
          <w:sz w:val="24"/>
          <w:szCs w:val="24"/>
        </w:rPr>
      </w:pPr>
      <w:r w:rsidRPr="00DE2F00">
        <w:rPr>
          <w:rFonts w:ascii="Times New Roman" w:hAnsi="Times New Roman" w:cs="Times New Roman"/>
          <w:sz w:val="24"/>
          <w:szCs w:val="24"/>
          <w:lang w:val="bg-BG"/>
        </w:rPr>
        <w:t>във възрастовата структура преобладават регистрираните безработни лица над 50 годишна възраст – те са над 45% от общия брой.</w:t>
      </w: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i/>
          <w:sz w:val="24"/>
          <w:szCs w:val="24"/>
          <w:u w:val="single"/>
          <w:lang w:val="bg-BG"/>
        </w:rPr>
        <w:t>Тенденция на търсещи работа</w:t>
      </w:r>
      <w:r w:rsidRPr="00DE2F00">
        <w:rPr>
          <w:rFonts w:ascii="Times New Roman" w:hAnsi="Times New Roman" w:cs="Times New Roman"/>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4C1FE0">
      <w:pPr>
        <w:pStyle w:val="ListParagraph"/>
        <w:numPr>
          <w:ilvl w:val="0"/>
          <w:numId w:val="10"/>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През</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последните</w:t>
      </w:r>
      <w:proofErr w:type="spellEnd"/>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три</w:t>
      </w:r>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години</w:t>
      </w:r>
      <w:proofErr w:type="spellEnd"/>
      <w:r w:rsidRPr="00DE2F00">
        <w:rPr>
          <w:rFonts w:ascii="Times New Roman" w:hAnsi="Times New Roman" w:cs="Times New Roman"/>
          <w:sz w:val="24"/>
          <w:szCs w:val="24"/>
        </w:rPr>
        <w:t xml:space="preserve"> в </w:t>
      </w:r>
      <w:r w:rsidRPr="00DE2F00">
        <w:rPr>
          <w:rFonts w:ascii="Times New Roman" w:hAnsi="Times New Roman" w:cs="Times New Roman"/>
          <w:sz w:val="24"/>
          <w:szCs w:val="24"/>
          <w:lang w:val="bg-BG"/>
        </w:rPr>
        <w:t>община Тетевен</w:t>
      </w:r>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равнището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безработица</w:t>
      </w:r>
      <w:proofErr w:type="spellEnd"/>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намалява, като в края на 2017 г. достига най-ниските параметри през последните 5 години, но остава по-високо от средното за страната с над 10 пункта</w:t>
      </w:r>
      <w:r w:rsidRPr="00DE2F00">
        <w:rPr>
          <w:rFonts w:ascii="Times New Roman" w:hAnsi="Times New Roman" w:cs="Times New Roman"/>
          <w:sz w:val="24"/>
          <w:szCs w:val="24"/>
        </w:rPr>
        <w:t>;</w:t>
      </w:r>
    </w:p>
    <w:p w:rsidR="00DE2F00" w:rsidRPr="00DE2F00" w:rsidRDefault="00DE2F00" w:rsidP="004C1FE0">
      <w:pPr>
        <w:pStyle w:val="ListParagraph"/>
        <w:numPr>
          <w:ilvl w:val="0"/>
          <w:numId w:val="10"/>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Във</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формираната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полов</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признак</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група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по-осезателен</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спад</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безработицата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наблюдава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сред</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мъжете</w:t>
      </w:r>
      <w:proofErr w:type="spellEnd"/>
      <w:r w:rsidRPr="00DE2F00">
        <w:rPr>
          <w:rFonts w:ascii="Times New Roman" w:hAnsi="Times New Roman" w:cs="Times New Roman"/>
          <w:sz w:val="24"/>
          <w:szCs w:val="24"/>
        </w:rPr>
        <w:t>;</w:t>
      </w:r>
    </w:p>
    <w:p w:rsidR="00DE2F00" w:rsidRPr="00DE2F00" w:rsidRDefault="00DE2F00" w:rsidP="004C1FE0">
      <w:pPr>
        <w:pStyle w:val="ListParagraph"/>
        <w:numPr>
          <w:ilvl w:val="0"/>
          <w:numId w:val="10"/>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Влошена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остава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качествената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характеристика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работната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сила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Преобладаващата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част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безработните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са</w:t>
      </w:r>
      <w:proofErr w:type="spellEnd"/>
      <w:r w:rsidRPr="00DE2F00">
        <w:rPr>
          <w:rFonts w:ascii="Times New Roman" w:hAnsi="Times New Roman" w:cs="Times New Roman"/>
          <w:sz w:val="24"/>
          <w:szCs w:val="24"/>
        </w:rPr>
        <w:t xml:space="preserve"> с </w:t>
      </w:r>
      <w:proofErr w:type="spellStart"/>
      <w:r w:rsidRPr="00DE2F00">
        <w:rPr>
          <w:rFonts w:ascii="Times New Roman" w:hAnsi="Times New Roman" w:cs="Times New Roman"/>
          <w:sz w:val="24"/>
          <w:szCs w:val="24"/>
        </w:rPr>
        <w:t>основн</w:t>
      </w:r>
      <w:proofErr w:type="spellEnd"/>
      <w:r w:rsidRPr="00DE2F00">
        <w:rPr>
          <w:rFonts w:ascii="Times New Roman" w:hAnsi="Times New Roman" w:cs="Times New Roman"/>
          <w:sz w:val="24"/>
          <w:szCs w:val="24"/>
          <w:lang w:val="bg-BG"/>
        </w:rPr>
        <w:t>о</w:t>
      </w:r>
      <w:r w:rsidRPr="00DE2F00">
        <w:rPr>
          <w:rFonts w:ascii="Times New Roman" w:hAnsi="Times New Roman" w:cs="Times New Roman"/>
          <w:sz w:val="24"/>
          <w:szCs w:val="24"/>
        </w:rPr>
        <w:t xml:space="preserve"> и </w:t>
      </w:r>
      <w:proofErr w:type="spellStart"/>
      <w:r w:rsidRPr="00DE2F00">
        <w:rPr>
          <w:rFonts w:ascii="Times New Roman" w:hAnsi="Times New Roman" w:cs="Times New Roman"/>
          <w:sz w:val="24"/>
          <w:szCs w:val="24"/>
        </w:rPr>
        <w:t>по-ниска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степен</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образование</w:t>
      </w:r>
      <w:proofErr w:type="spellEnd"/>
      <w:r w:rsidRPr="00DE2F00">
        <w:rPr>
          <w:rFonts w:ascii="Times New Roman" w:hAnsi="Times New Roman" w:cs="Times New Roman"/>
          <w:sz w:val="24"/>
          <w:szCs w:val="24"/>
        </w:rPr>
        <w:t xml:space="preserve"> и </w:t>
      </w:r>
      <w:proofErr w:type="spellStart"/>
      <w:r w:rsidRPr="00DE2F00">
        <w:rPr>
          <w:rFonts w:ascii="Times New Roman" w:hAnsi="Times New Roman" w:cs="Times New Roman"/>
          <w:sz w:val="24"/>
          <w:szCs w:val="24"/>
        </w:rPr>
        <w:t>без</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квалификация</w:t>
      </w:r>
      <w:proofErr w:type="spellEnd"/>
      <w:r w:rsidRPr="00DE2F00">
        <w:rPr>
          <w:rFonts w:ascii="Times New Roman" w:hAnsi="Times New Roman" w:cs="Times New Roman"/>
          <w:sz w:val="24"/>
          <w:szCs w:val="24"/>
        </w:rPr>
        <w:t>;</w:t>
      </w:r>
    </w:p>
    <w:p w:rsidR="00DE2F00" w:rsidRPr="00DE2F00" w:rsidRDefault="00DE2F00" w:rsidP="004C1FE0">
      <w:pPr>
        <w:pStyle w:val="ListParagraph"/>
        <w:numPr>
          <w:ilvl w:val="0"/>
          <w:numId w:val="10"/>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Безработните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младежи</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до</w:t>
      </w:r>
      <w:proofErr w:type="spellEnd"/>
      <w:r w:rsidRPr="00DE2F00">
        <w:rPr>
          <w:rFonts w:ascii="Times New Roman" w:hAnsi="Times New Roman" w:cs="Times New Roman"/>
          <w:sz w:val="24"/>
          <w:szCs w:val="24"/>
        </w:rPr>
        <w:t xml:space="preserve"> 29 г. </w:t>
      </w:r>
      <w:proofErr w:type="spellStart"/>
      <w:r w:rsidRPr="00DE2F00">
        <w:rPr>
          <w:rFonts w:ascii="Times New Roman" w:hAnsi="Times New Roman" w:cs="Times New Roman"/>
          <w:sz w:val="24"/>
          <w:szCs w:val="24"/>
        </w:rPr>
        <w:t>се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обособяват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като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група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която</w:t>
      </w:r>
      <w:proofErr w:type="spellEnd"/>
      <w:r w:rsidRPr="00DE2F00">
        <w:rPr>
          <w:rFonts w:ascii="Times New Roman" w:hAnsi="Times New Roman" w:cs="Times New Roman"/>
          <w:sz w:val="24"/>
          <w:szCs w:val="24"/>
        </w:rPr>
        <w:t xml:space="preserve"> е в </w:t>
      </w:r>
      <w:proofErr w:type="spellStart"/>
      <w:r w:rsidRPr="00DE2F00">
        <w:rPr>
          <w:rFonts w:ascii="Times New Roman" w:hAnsi="Times New Roman" w:cs="Times New Roman"/>
          <w:sz w:val="24"/>
          <w:szCs w:val="24"/>
        </w:rPr>
        <w:t>неравностойно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положение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пазара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труда</w:t>
      </w:r>
      <w:proofErr w:type="spellEnd"/>
      <w:r w:rsidRPr="00DE2F00">
        <w:rPr>
          <w:rFonts w:ascii="Times New Roman" w:hAnsi="Times New Roman" w:cs="Times New Roman"/>
          <w:sz w:val="24"/>
          <w:szCs w:val="24"/>
        </w:rPr>
        <w:t>;</w:t>
      </w:r>
    </w:p>
    <w:p w:rsidR="00DE2F00" w:rsidRPr="00DE2F00" w:rsidRDefault="00DE2F00" w:rsidP="004C1FE0">
      <w:pPr>
        <w:pStyle w:val="ListParagraph"/>
        <w:numPr>
          <w:ilvl w:val="0"/>
          <w:numId w:val="10"/>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Безработните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над</w:t>
      </w:r>
      <w:proofErr w:type="spellEnd"/>
      <w:r w:rsidRPr="00DE2F00">
        <w:rPr>
          <w:rFonts w:ascii="Times New Roman" w:hAnsi="Times New Roman" w:cs="Times New Roman"/>
          <w:sz w:val="24"/>
          <w:szCs w:val="24"/>
        </w:rPr>
        <w:t xml:space="preserve"> 50 </w:t>
      </w:r>
      <w:proofErr w:type="spellStart"/>
      <w:r w:rsidRPr="00DE2F00">
        <w:rPr>
          <w:rFonts w:ascii="Times New Roman" w:hAnsi="Times New Roman" w:cs="Times New Roman"/>
          <w:sz w:val="24"/>
          <w:szCs w:val="24"/>
        </w:rPr>
        <w:t>години</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остават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най-многочислена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група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във</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възрастовата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структура</w:t>
      </w:r>
      <w:proofErr w:type="spellEnd"/>
      <w:r w:rsidRPr="00DE2F00">
        <w:rPr>
          <w:rFonts w:ascii="Times New Roman" w:hAnsi="Times New Roman" w:cs="Times New Roman"/>
          <w:sz w:val="24"/>
          <w:szCs w:val="24"/>
        </w:rPr>
        <w:t>;</w:t>
      </w:r>
    </w:p>
    <w:p w:rsidR="00DE2F00" w:rsidRPr="00DE2F00" w:rsidRDefault="00DE2F00" w:rsidP="004C1FE0">
      <w:pPr>
        <w:pStyle w:val="ListParagraph"/>
        <w:numPr>
          <w:ilvl w:val="0"/>
          <w:numId w:val="10"/>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Броя</w:t>
      </w:r>
      <w:proofErr w:type="spellEnd"/>
      <w:r w:rsidRPr="00DE2F00">
        <w:rPr>
          <w:rFonts w:ascii="Times New Roman" w:hAnsi="Times New Roman" w:cs="Times New Roman"/>
          <w:sz w:val="24"/>
          <w:szCs w:val="24"/>
          <w:lang w:val="bg-BG"/>
        </w:rPr>
        <w:t>т</w:t>
      </w:r>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лицата</w:t>
      </w:r>
      <w:proofErr w:type="spellEnd"/>
      <w:r w:rsidRPr="00DE2F00">
        <w:rPr>
          <w:rFonts w:ascii="Times New Roman" w:hAnsi="Times New Roman" w:cs="Times New Roman"/>
          <w:sz w:val="24"/>
          <w:szCs w:val="24"/>
        </w:rPr>
        <w:t xml:space="preserve"> с </w:t>
      </w:r>
      <w:proofErr w:type="spellStart"/>
      <w:r w:rsidRPr="00DE2F00">
        <w:rPr>
          <w:rFonts w:ascii="Times New Roman" w:hAnsi="Times New Roman" w:cs="Times New Roman"/>
          <w:sz w:val="24"/>
          <w:szCs w:val="24"/>
        </w:rPr>
        <w:t>трайно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намалена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работоспособност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като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относителна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величина</w:t>
      </w:r>
      <w:proofErr w:type="spellEnd"/>
      <w:r w:rsidRPr="00DE2F00">
        <w:rPr>
          <w:rFonts w:ascii="Times New Roman" w:hAnsi="Times New Roman" w:cs="Times New Roman"/>
          <w:sz w:val="24"/>
          <w:szCs w:val="24"/>
        </w:rPr>
        <w:t xml:space="preserve"> и </w:t>
      </w:r>
      <w:proofErr w:type="spellStart"/>
      <w:r w:rsidRPr="00DE2F00">
        <w:rPr>
          <w:rFonts w:ascii="Times New Roman" w:hAnsi="Times New Roman" w:cs="Times New Roman"/>
          <w:sz w:val="24"/>
          <w:szCs w:val="24"/>
        </w:rPr>
        <w:t>като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абсолютен</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брой</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увеличава</w:t>
      </w:r>
      <w:proofErr w:type="spellEnd"/>
      <w:r w:rsidRPr="00DE2F00">
        <w:rPr>
          <w:rFonts w:ascii="Times New Roman" w:hAnsi="Times New Roman" w:cs="Times New Roman"/>
          <w:sz w:val="24"/>
          <w:szCs w:val="24"/>
        </w:rPr>
        <w:t xml:space="preserve">; </w:t>
      </w:r>
    </w:p>
    <w:p w:rsidR="00DE2F00" w:rsidRPr="00DE2F00" w:rsidRDefault="00DE2F00" w:rsidP="004C1FE0">
      <w:pPr>
        <w:pStyle w:val="ListParagraph"/>
        <w:numPr>
          <w:ilvl w:val="0"/>
          <w:numId w:val="10"/>
        </w:numPr>
        <w:ind w:left="0" w:firstLine="0"/>
        <w:jc w:val="both"/>
        <w:rPr>
          <w:rFonts w:ascii="Times New Roman" w:hAnsi="Times New Roman" w:cs="Times New Roman"/>
          <w:sz w:val="24"/>
          <w:szCs w:val="24"/>
        </w:rPr>
      </w:pPr>
      <w:proofErr w:type="spellStart"/>
      <w:r w:rsidRPr="00DE2F00">
        <w:rPr>
          <w:rFonts w:ascii="Times New Roman" w:hAnsi="Times New Roman" w:cs="Times New Roman"/>
          <w:sz w:val="24"/>
          <w:szCs w:val="24"/>
        </w:rPr>
        <w:t>Продължително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безработните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лица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формират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една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най-рисковите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групи</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обхващат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по-малко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от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половината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безработни</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лица</w:t>
      </w:r>
      <w:proofErr w:type="spellEnd"/>
      <w:r w:rsidRPr="00DE2F00">
        <w:rPr>
          <w:rFonts w:ascii="Times New Roman" w:hAnsi="Times New Roman" w:cs="Times New Roman"/>
          <w:sz w:val="24"/>
          <w:szCs w:val="24"/>
        </w:rPr>
        <w:t xml:space="preserve"> в </w:t>
      </w:r>
      <w:proofErr w:type="spellStart"/>
      <w:r w:rsidRPr="00DE2F00">
        <w:rPr>
          <w:rFonts w:ascii="Times New Roman" w:hAnsi="Times New Roman" w:cs="Times New Roman"/>
          <w:sz w:val="24"/>
          <w:szCs w:val="24"/>
        </w:rPr>
        <w:t>областта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като</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делът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им</w:t>
      </w:r>
      <w:proofErr w:type="spellEnd"/>
      <w:r w:rsidRPr="00DE2F00">
        <w:rPr>
          <w:rFonts w:ascii="Times New Roman" w:hAnsi="Times New Roman" w:cs="Times New Roman"/>
          <w:sz w:val="24"/>
          <w:szCs w:val="24"/>
        </w:rPr>
        <w:t xml:space="preserve"> в </w:t>
      </w:r>
      <w:proofErr w:type="spellStart"/>
      <w:r w:rsidRPr="00DE2F00">
        <w:rPr>
          <w:rFonts w:ascii="Times New Roman" w:hAnsi="Times New Roman" w:cs="Times New Roman"/>
          <w:sz w:val="24"/>
          <w:szCs w:val="24"/>
        </w:rPr>
        <w:t>общата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съвкупност</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на</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безработните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разширява</w:t>
      </w:r>
      <w:proofErr w:type="spellEnd"/>
      <w:r w:rsidRPr="00DE2F00">
        <w:rPr>
          <w:rFonts w:ascii="Times New Roman" w:hAnsi="Times New Roman" w:cs="Times New Roman"/>
          <w:sz w:val="24"/>
          <w:szCs w:val="24"/>
        </w:rPr>
        <w:t xml:space="preserve">, </w:t>
      </w:r>
      <w:proofErr w:type="gramStart"/>
      <w:r w:rsidRPr="00DE2F00">
        <w:rPr>
          <w:rFonts w:ascii="Times New Roman" w:hAnsi="Times New Roman" w:cs="Times New Roman"/>
          <w:sz w:val="24"/>
          <w:szCs w:val="24"/>
        </w:rPr>
        <w:t xml:space="preserve">а  </w:t>
      </w:r>
      <w:proofErr w:type="spellStart"/>
      <w:r w:rsidRPr="00DE2F00">
        <w:rPr>
          <w:rFonts w:ascii="Times New Roman" w:hAnsi="Times New Roman" w:cs="Times New Roman"/>
          <w:sz w:val="24"/>
          <w:szCs w:val="24"/>
        </w:rPr>
        <w:t>броя</w:t>
      </w:r>
      <w:proofErr w:type="spellEnd"/>
      <w:r w:rsidRPr="00DE2F00">
        <w:rPr>
          <w:rFonts w:ascii="Times New Roman" w:hAnsi="Times New Roman" w:cs="Times New Roman"/>
          <w:sz w:val="24"/>
          <w:szCs w:val="24"/>
          <w:lang w:val="bg-BG"/>
        </w:rPr>
        <w:t>т</w:t>
      </w:r>
      <w:proofErr w:type="gram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им</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се</w:t>
      </w:r>
      <w:proofErr w:type="spellEnd"/>
      <w:r w:rsidRPr="00DE2F00">
        <w:rPr>
          <w:rFonts w:ascii="Times New Roman" w:hAnsi="Times New Roman" w:cs="Times New Roman"/>
          <w:sz w:val="24"/>
          <w:szCs w:val="24"/>
        </w:rPr>
        <w:t xml:space="preserve"> </w:t>
      </w:r>
      <w:proofErr w:type="spellStart"/>
      <w:r w:rsidRPr="00DE2F00">
        <w:rPr>
          <w:rFonts w:ascii="Times New Roman" w:hAnsi="Times New Roman" w:cs="Times New Roman"/>
          <w:sz w:val="24"/>
          <w:szCs w:val="24"/>
        </w:rPr>
        <w:t>увеличава</w:t>
      </w:r>
      <w:proofErr w:type="spellEnd"/>
      <w:r w:rsidRPr="00DE2F00">
        <w:rPr>
          <w:rFonts w:ascii="Times New Roman" w:hAnsi="Times New Roman" w:cs="Times New Roman"/>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i/>
          <w:sz w:val="24"/>
          <w:szCs w:val="24"/>
          <w:u w:val="single"/>
          <w:lang w:val="bg-BG"/>
        </w:rPr>
        <w:t>Продължително безработни</w:t>
      </w:r>
      <w:r w:rsidRPr="00DE2F00">
        <w:rPr>
          <w:rFonts w:ascii="Times New Roman" w:hAnsi="Times New Roman" w:cs="Times New Roman"/>
          <w:sz w:val="24"/>
          <w:szCs w:val="24"/>
          <w:lang w:val="bg-BG"/>
        </w:rPr>
        <w:t xml:space="preserve">: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Към 31.12.2017г. продължително безработните лица са 809 или 52% от общия брой регистрирани безработни лица.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- 51,3% са жени;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- 71,7 % са без специалност и професия;</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- 64,4% са с основно и по-ниско образование.</w:t>
      </w: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u w:val="single"/>
          <w:lang w:val="bg-BG"/>
        </w:rPr>
      </w:pPr>
      <w:r w:rsidRPr="00DE2F00">
        <w:rPr>
          <w:rFonts w:ascii="Times New Roman" w:hAnsi="Times New Roman" w:cs="Times New Roman"/>
          <w:sz w:val="24"/>
          <w:szCs w:val="24"/>
          <w:u w:val="single"/>
          <w:lang w:val="bg-BG"/>
        </w:rPr>
        <w:t>Лица, които са на пазара на труда и са включени по програми на ДБТ:</w:t>
      </w:r>
    </w:p>
    <w:p w:rsidR="00DE2F00" w:rsidRPr="00DE2F00" w:rsidRDefault="00DE2F00" w:rsidP="00DE2F00">
      <w:pPr>
        <w:pStyle w:val="ListParagraph"/>
        <w:ind w:left="0"/>
        <w:jc w:val="both"/>
        <w:rPr>
          <w:rFonts w:ascii="Times New Roman" w:hAnsi="Times New Roman" w:cs="Times New Roman"/>
          <w:sz w:val="24"/>
          <w:szCs w:val="24"/>
          <w:u w:val="single"/>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През периода 2015 – 2017г.  безработните лица, включени в програми за заетост и обучение, са от различни целеви групи – продължително безработни лица, </w:t>
      </w:r>
      <w:proofErr w:type="spellStart"/>
      <w:r w:rsidRPr="00DE2F00">
        <w:rPr>
          <w:rFonts w:ascii="Times New Roman" w:hAnsi="Times New Roman" w:cs="Times New Roman"/>
          <w:sz w:val="24"/>
          <w:szCs w:val="24"/>
          <w:lang w:val="bg-BG"/>
        </w:rPr>
        <w:t>лица</w:t>
      </w:r>
      <w:proofErr w:type="spellEnd"/>
      <w:r w:rsidRPr="00DE2F00">
        <w:rPr>
          <w:rFonts w:ascii="Times New Roman" w:hAnsi="Times New Roman" w:cs="Times New Roman"/>
          <w:sz w:val="24"/>
          <w:szCs w:val="24"/>
          <w:lang w:val="bg-BG"/>
        </w:rPr>
        <w:t xml:space="preserve"> над 50 годишна възраст, младежи до 29 годишна възраст, лица с основно и по-ниско образование,  лица с увреждания и безработни лица, които са обект на месечно социално подпомагане. В този показател се отчитат и лицата, работили по различни схеми за осигуряване на заетост от Оперативна програма „Развитие на човешките ресурси. За целия период общо включените в действащи програми и схеми  лица са 551.</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За разлика от останалите сектори, където съществуват известни възможности и ресурси за стартиране на директна подкрепа към целевите общности, то за решаване на проблемите в жилищния сектор е необходимо най - напред да се разработи предвидената общинска програма за жилищните условия на обособените етнически общности.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Ромите на територията на община Тетевен не живеят в обособени квартали. По – голямата част живеят в големи фамилни къщи, но има и домове, в които живеят няколко домакинства в изключително тежки условия.</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Жилищните условия се подобряват главно чрез общинския бюджет и участието в европейски програми. Въпреки че има изградена система за </w:t>
      </w:r>
      <w:proofErr w:type="spellStart"/>
      <w:r w:rsidRPr="00DE2F00">
        <w:rPr>
          <w:rFonts w:ascii="Times New Roman" w:hAnsi="Times New Roman" w:cs="Times New Roman"/>
          <w:sz w:val="24"/>
          <w:szCs w:val="24"/>
          <w:lang w:val="bg-BG"/>
        </w:rPr>
        <w:t>сметопочистване</w:t>
      </w:r>
      <w:proofErr w:type="spellEnd"/>
      <w:r w:rsidRPr="00DE2F00">
        <w:rPr>
          <w:rFonts w:ascii="Times New Roman" w:hAnsi="Times New Roman" w:cs="Times New Roman"/>
          <w:sz w:val="24"/>
          <w:szCs w:val="24"/>
          <w:lang w:val="bg-BG"/>
        </w:rPr>
        <w:t>, контейнерите не винаги се използват по предназначение.</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Към момента няма </w:t>
      </w:r>
      <w:proofErr w:type="spellStart"/>
      <w:r w:rsidRPr="00DE2F00">
        <w:rPr>
          <w:rFonts w:ascii="Times New Roman" w:hAnsi="Times New Roman" w:cs="Times New Roman"/>
          <w:sz w:val="24"/>
          <w:szCs w:val="24"/>
          <w:lang w:val="bg-BG"/>
        </w:rPr>
        <w:t>новоотредени</w:t>
      </w:r>
      <w:proofErr w:type="spellEnd"/>
      <w:r w:rsidRPr="00DE2F00">
        <w:rPr>
          <w:rFonts w:ascii="Times New Roman" w:hAnsi="Times New Roman" w:cs="Times New Roman"/>
          <w:sz w:val="24"/>
          <w:szCs w:val="24"/>
          <w:lang w:val="bg-BG"/>
        </w:rPr>
        <w:t xml:space="preserve"> терени за жилищно строителство на гражданите от ромски произход. Няма и регистри за териториите, включващи ромско население.</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Плановата осигуреност, включваща и население от ромски произход, е следната: </w:t>
      </w:r>
      <w:proofErr w:type="spellStart"/>
      <w:r w:rsidRPr="00DE2F00">
        <w:rPr>
          <w:rFonts w:ascii="Times New Roman" w:hAnsi="Times New Roman" w:cs="Times New Roman"/>
          <w:sz w:val="24"/>
          <w:szCs w:val="24"/>
          <w:lang w:val="bg-BG"/>
        </w:rPr>
        <w:t>застроителен</w:t>
      </w:r>
      <w:proofErr w:type="spellEnd"/>
      <w:r w:rsidRPr="00DE2F00">
        <w:rPr>
          <w:rFonts w:ascii="Times New Roman" w:hAnsi="Times New Roman" w:cs="Times New Roman"/>
          <w:sz w:val="24"/>
          <w:szCs w:val="24"/>
          <w:lang w:val="bg-BG"/>
        </w:rPr>
        <w:t xml:space="preserve"> и регулационен план /ЗРП/ за гр. Тетевен, кв. </w:t>
      </w:r>
      <w:proofErr w:type="spellStart"/>
      <w:r w:rsidRPr="00DE2F00">
        <w:rPr>
          <w:rFonts w:ascii="Times New Roman" w:hAnsi="Times New Roman" w:cs="Times New Roman"/>
          <w:sz w:val="24"/>
          <w:szCs w:val="24"/>
          <w:lang w:val="bg-BG"/>
        </w:rPr>
        <w:t>Полатен</w:t>
      </w:r>
      <w:proofErr w:type="spellEnd"/>
      <w:r w:rsidRPr="00DE2F00">
        <w:rPr>
          <w:rFonts w:ascii="Times New Roman" w:hAnsi="Times New Roman" w:cs="Times New Roman"/>
          <w:sz w:val="24"/>
          <w:szCs w:val="24"/>
          <w:lang w:val="bg-BG"/>
        </w:rPr>
        <w:t xml:space="preserve">, кв. Пладнището, с. Черни Вит, с. Малка Желязна, с. Дивчовото, с. Гложене, с. Голям Извор, с. Галата, с. Васильово, с. Български Извор, с. Бабинци; регулационен план /РП/ за с. Рибарица, с. Градежница, с. Глогово и м. Асен; изготвени кадастрални карти за гр. Тетевен, кв. </w:t>
      </w:r>
      <w:proofErr w:type="spellStart"/>
      <w:r w:rsidRPr="00DE2F00">
        <w:rPr>
          <w:rFonts w:ascii="Times New Roman" w:hAnsi="Times New Roman" w:cs="Times New Roman"/>
          <w:sz w:val="24"/>
          <w:szCs w:val="24"/>
          <w:lang w:val="bg-BG"/>
        </w:rPr>
        <w:t>Полатен</w:t>
      </w:r>
      <w:proofErr w:type="spellEnd"/>
      <w:r w:rsidRPr="00DE2F00">
        <w:rPr>
          <w:rFonts w:ascii="Times New Roman" w:hAnsi="Times New Roman" w:cs="Times New Roman"/>
          <w:sz w:val="24"/>
          <w:szCs w:val="24"/>
          <w:lang w:val="bg-BG"/>
        </w:rPr>
        <w:t>, кв. Пладнището, с. Рибарица, с. Черни Вит и с. Дивчовото.</w:t>
      </w:r>
    </w:p>
    <w:p w:rsid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За периода 2014 г. - 2020 г. в общинските инфраструктурни дейности се предвижда изграждането на детски площадки и игрища в махали, които са включени в регулация.</w:t>
      </w:r>
    </w:p>
    <w:p w:rsidR="004700BC" w:rsidRPr="00DE2F00" w:rsidRDefault="004700BC"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ab/>
        <w:t xml:space="preserve">Поставя се акцент върху жените и децата, опазване на обществения ред и гарантиране правата на всички граждани.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w:t>
      </w:r>
      <w:r w:rsidRPr="00DE2F00">
        <w:rPr>
          <w:rFonts w:ascii="Times New Roman" w:hAnsi="Times New Roman" w:cs="Times New Roman"/>
          <w:sz w:val="24"/>
          <w:szCs w:val="24"/>
          <w:lang w:val="bg-BG"/>
        </w:rPr>
        <w:tab/>
        <w:t xml:space="preserve">Подобряване на ефективността на служителите и </w:t>
      </w:r>
      <w:proofErr w:type="spellStart"/>
      <w:r w:rsidRPr="00DE2F00">
        <w:rPr>
          <w:rFonts w:ascii="Times New Roman" w:hAnsi="Times New Roman" w:cs="Times New Roman"/>
          <w:sz w:val="24"/>
          <w:szCs w:val="24"/>
          <w:lang w:val="bg-BG"/>
        </w:rPr>
        <w:t>правоохранителните</w:t>
      </w:r>
      <w:proofErr w:type="spellEnd"/>
      <w:r w:rsidRPr="00DE2F00">
        <w:rPr>
          <w:rFonts w:ascii="Times New Roman" w:hAnsi="Times New Roman" w:cs="Times New Roman"/>
          <w:sz w:val="24"/>
          <w:szCs w:val="24"/>
          <w:lang w:val="bg-BG"/>
        </w:rPr>
        <w:t xml:space="preserve"> органи в мултиетническа среда при спазване на стандартите по правата на човека.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Насърчаване </w:t>
      </w:r>
      <w:proofErr w:type="spellStart"/>
      <w:r w:rsidRPr="00DE2F00">
        <w:rPr>
          <w:rFonts w:ascii="Times New Roman" w:hAnsi="Times New Roman" w:cs="Times New Roman"/>
          <w:sz w:val="24"/>
          <w:szCs w:val="24"/>
          <w:lang w:val="bg-BG"/>
        </w:rPr>
        <w:t>равнопоставеността</w:t>
      </w:r>
      <w:proofErr w:type="spellEnd"/>
      <w:r w:rsidRPr="00DE2F00">
        <w:rPr>
          <w:rFonts w:ascii="Times New Roman" w:hAnsi="Times New Roman" w:cs="Times New Roman"/>
          <w:sz w:val="24"/>
          <w:szCs w:val="24"/>
          <w:lang w:val="bg-BG"/>
        </w:rPr>
        <w:t xml:space="preserve"> между жените и мъжете и осигуряване на предпоставки за успешна реализация и нова социална роля на ромската жена.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w:t>
      </w:r>
      <w:r w:rsidRPr="00DE2F00">
        <w:rPr>
          <w:rFonts w:ascii="Times New Roman" w:hAnsi="Times New Roman" w:cs="Times New Roman"/>
          <w:sz w:val="24"/>
          <w:szCs w:val="24"/>
          <w:lang w:val="bg-BG"/>
        </w:rPr>
        <w:tab/>
        <w:t>Засилване на работата със семействата от ромски произход и от друго живеещо при подобни условия население за осъзнаване на родителските задължения, за разбиран</w:t>
      </w:r>
      <w:r w:rsidR="00A549ED">
        <w:rPr>
          <w:rFonts w:ascii="Times New Roman" w:hAnsi="Times New Roman" w:cs="Times New Roman"/>
          <w:sz w:val="24"/>
          <w:szCs w:val="24"/>
          <w:lang w:val="bg-BG"/>
        </w:rPr>
        <w:t>е и спазване правата на децата.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На територията на община Тетевен няма професионални културни институти. Дейността в това направление се осъществява от единадесет действащи читалища.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Читалища, като институция, има във всички населени места, но самостоятелни читалищни сгради има в Тетевен, Рибарица, Гложене,  Български извор, Голям извор и Бабинци. В останалите населени места на територията на общината читалищна дейност се развива в пригодени бази, спортни зали или други предоставени за ползване помещения. Като цяло материално-техническата база на читалищата е остаряла и почти  в същото състояние отпреди 15 години.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Читалищните дейци търсят средства за възстановяване на дейностите, кандидатствайки за финансиране към различни донорски програми. Възможности за допълнително финансиране на дейности от няколко години се осъществяват и по линия на допълващата субсидия от страна на Министерството на културата. По програма МАТРА на Холандското правителство беше изграден Интернет център към читалището в Тетевен. Постепенно читалищата започнаха да се снабдяват със съвременна техника. Наред с осигурената посредством допълваща субсидия, вече е налице техническо осигуряване и по линия на Програма «Глобални библиотеки»- читалището в гр. Тетевен и читалищата в селата Глогово, Български извор, Черни Вит, Бабинци, Васильово и Рибарица.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Читалищата осъществяват основно </w:t>
      </w:r>
      <w:proofErr w:type="spellStart"/>
      <w:r w:rsidRPr="00DE2F00">
        <w:rPr>
          <w:rFonts w:ascii="Times New Roman" w:hAnsi="Times New Roman" w:cs="Times New Roman"/>
          <w:sz w:val="24"/>
          <w:szCs w:val="24"/>
          <w:lang w:val="bg-BG"/>
        </w:rPr>
        <w:t>събирателска</w:t>
      </w:r>
      <w:proofErr w:type="spellEnd"/>
      <w:r w:rsidRPr="00DE2F00">
        <w:rPr>
          <w:rFonts w:ascii="Times New Roman" w:hAnsi="Times New Roman" w:cs="Times New Roman"/>
          <w:sz w:val="24"/>
          <w:szCs w:val="24"/>
          <w:lang w:val="bg-BG"/>
        </w:rPr>
        <w:t xml:space="preserve"> дейност в областта на фолклора. Почти във всички селища има фолклорни състави от различни възрастови групи, което осигурява приемственост и запазване на традиции, бит и фолклор.Читалищата в селата Глогово, Градежница, Галата, Български извор, Рибарица, Черни Вит, Васильово, Голям извор и Гложене развиват т.нар. изворен песенен фолклор. Читалището в гр. Тетевен, освен автентичен фолклор, към 2007 г. е сформирало група за ромски танци – ромска танцова формация «</w:t>
      </w:r>
      <w:proofErr w:type="spellStart"/>
      <w:r w:rsidRPr="00DE2F00">
        <w:rPr>
          <w:rFonts w:ascii="Times New Roman" w:hAnsi="Times New Roman" w:cs="Times New Roman"/>
          <w:sz w:val="24"/>
          <w:szCs w:val="24"/>
          <w:lang w:val="bg-BG"/>
        </w:rPr>
        <w:t>Амалипе</w:t>
      </w:r>
      <w:proofErr w:type="spellEnd"/>
      <w:r w:rsidRPr="00DE2F00">
        <w:rPr>
          <w:rFonts w:ascii="Times New Roman" w:hAnsi="Times New Roman" w:cs="Times New Roman"/>
          <w:sz w:val="24"/>
          <w:szCs w:val="24"/>
          <w:lang w:val="bg-BG"/>
        </w:rPr>
        <w:t xml:space="preserve">». През 2017 г. по особен начин са отбелязани ромските празници </w:t>
      </w:r>
      <w:proofErr w:type="spellStart"/>
      <w:r w:rsidRPr="00DE2F00">
        <w:rPr>
          <w:rFonts w:ascii="Times New Roman" w:hAnsi="Times New Roman" w:cs="Times New Roman"/>
          <w:sz w:val="24"/>
          <w:szCs w:val="24"/>
          <w:lang w:val="bg-BG"/>
        </w:rPr>
        <w:t>Банго</w:t>
      </w:r>
      <w:proofErr w:type="spellEnd"/>
      <w:r w:rsidRPr="00DE2F00">
        <w:rPr>
          <w:rFonts w:ascii="Times New Roman" w:hAnsi="Times New Roman" w:cs="Times New Roman"/>
          <w:sz w:val="24"/>
          <w:szCs w:val="24"/>
          <w:lang w:val="bg-BG"/>
        </w:rPr>
        <w:t xml:space="preserve"> Васил и Международния ден на ромите /8 април/, който е заложен и в Културния календар на Община Тетевен.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В Община Тетевен има главен експерт в направление „Спорт, интеграция и младежки дейности към отдел „Хуманитарни дейности, спорт и туризъм“; към Дирекция „Бюро по труда“ има назначен трудов </w:t>
      </w:r>
      <w:proofErr w:type="spellStart"/>
      <w:r w:rsidRPr="00DE2F00">
        <w:rPr>
          <w:rFonts w:ascii="Times New Roman" w:hAnsi="Times New Roman" w:cs="Times New Roman"/>
          <w:sz w:val="24"/>
          <w:szCs w:val="24"/>
          <w:lang w:val="bg-BG"/>
        </w:rPr>
        <w:t>медиатор</w:t>
      </w:r>
      <w:proofErr w:type="spellEnd"/>
      <w:r w:rsidRPr="00DE2F00">
        <w:rPr>
          <w:rFonts w:ascii="Times New Roman" w:hAnsi="Times New Roman" w:cs="Times New Roman"/>
          <w:sz w:val="24"/>
          <w:szCs w:val="24"/>
          <w:lang w:val="bg-BG"/>
        </w:rPr>
        <w:t>; на територията на община Тетевен няма действащо НПО, работещо в сферата на интеграцията.</w:t>
      </w:r>
    </w:p>
    <w:p w:rsid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Шестте приоритета, заложени в Плана за действие на община Тетевен /2014-2020/, свързан с интеграционните политики, поражда необходимост от дългосрочно планиране действията на местната власт, която да съчетава държавната политика, международни и национални програми и ангажирането на гражданското общество за  интегриране на ромите.</w:t>
      </w:r>
    </w:p>
    <w:p w:rsidR="00DE2F00" w:rsidRDefault="00DE2F00" w:rsidP="00DE2F00">
      <w:pPr>
        <w:pStyle w:val="ListParagraph"/>
        <w:ind w:left="0"/>
        <w:jc w:val="both"/>
        <w:rPr>
          <w:rFonts w:ascii="Times New Roman" w:hAnsi="Times New Roman" w:cs="Times New Roman"/>
          <w:sz w:val="24"/>
          <w:szCs w:val="24"/>
          <w:lang w:val="bg-BG"/>
        </w:rPr>
      </w:pPr>
    </w:p>
    <w:p w:rsidR="00DE2F00" w:rsidRDefault="00DE2F00" w:rsidP="00DE2F00">
      <w:pPr>
        <w:pStyle w:val="ListParagraph"/>
        <w:ind w:left="0"/>
        <w:jc w:val="both"/>
        <w:rPr>
          <w:rFonts w:ascii="Times New Roman" w:hAnsi="Times New Roman" w:cs="Times New Roman"/>
          <w:sz w:val="28"/>
          <w:szCs w:val="28"/>
          <w:lang w:val="bg-BG"/>
        </w:rPr>
      </w:pPr>
      <w:r w:rsidRPr="00DE2F00">
        <w:rPr>
          <w:rFonts w:ascii="Times New Roman" w:hAnsi="Times New Roman" w:cs="Times New Roman"/>
          <w:sz w:val="28"/>
          <w:szCs w:val="28"/>
          <w:lang w:val="bg-BG"/>
        </w:rPr>
        <w:t>Община Троян</w:t>
      </w:r>
    </w:p>
    <w:p w:rsidR="00DE2F00" w:rsidRDefault="00DE2F00" w:rsidP="00DE2F00">
      <w:pPr>
        <w:pStyle w:val="ListParagraph"/>
        <w:ind w:left="0"/>
        <w:jc w:val="both"/>
        <w:rPr>
          <w:rFonts w:ascii="Times New Roman" w:hAnsi="Times New Roman" w:cs="Times New Roman"/>
          <w:sz w:val="28"/>
          <w:szCs w:val="28"/>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Чрез реализиране на дейности, Община Троян осигурява интегриране, пълноценна реализация и грижа за хората от рисковите групи. Основен приоритет са младите хора, грижите за тяхното отглеждане, възпитание, образование и професионална реализация на територията на общината.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С Решение №660/2014 г. на Общински съвет Троян е приета Стратегия за развитие на образователната система в община Троян в периода 2014-2020 година и Програма за първия период (2014–2016г.). С Решение №422/2017 г. се приема Програма за ІІ период (2017–2018г.). </w:t>
      </w:r>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В нея са заложени редица дейности за подобряване обхвата на децата и учениците в детски градини и училища, включително за приобщаване на подрастващи от различни етноси.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През учебната 2017/2018 г. в училищата в община Троян се обучават 2</w:t>
      </w:r>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 xml:space="preserve">292 ученици в общински училища и приблизително 470 в държавни. Училищата с изявено присъствие на деца и ученици от различни етноси са в селата Орешак и Дебнево, в ОУ „Иван Хаджийски” и Професионална гимназия по </w:t>
      </w:r>
      <w:proofErr w:type="spellStart"/>
      <w:r w:rsidRPr="00DE2F00">
        <w:rPr>
          <w:rFonts w:ascii="Times New Roman" w:hAnsi="Times New Roman" w:cs="Times New Roman"/>
          <w:sz w:val="24"/>
          <w:szCs w:val="24"/>
          <w:lang w:val="bg-BG"/>
        </w:rPr>
        <w:t>механоелектротехника</w:t>
      </w:r>
      <w:proofErr w:type="spellEnd"/>
      <w:r w:rsidRPr="00DE2F00">
        <w:rPr>
          <w:rFonts w:ascii="Times New Roman" w:hAnsi="Times New Roman" w:cs="Times New Roman"/>
          <w:sz w:val="24"/>
          <w:szCs w:val="24"/>
          <w:lang w:val="bg-BG"/>
        </w:rPr>
        <w:t xml:space="preserve"> в Троян. За същата учебна година общият брой на децата в предучилищна възраст (3-6 години) е 822, от тях 750 в детски градини и 72 в училища. За община Троян учениците от ромски произход са приблизително 350 (13%); а децата, които посещават детска градина - приблизително 60 (7,3%). Съгласно Наредба за определянето и администрирането на местните такси и цени на услуги на територията на община Троян, са предвидени преференциални условия, които дават право за заплащане на такса за ползване на детска градина в намален размер.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В изпълнение на Решение на Министерски съвет №373 от 2017 г. се прилага механизъм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За 2017 година за община Троян са извършени над 200 физически посещения на адрес за обхват на подлежащи. За над 80 % от случаите се установява местоживеене извън страната. Реално върнати в образователната система са около 10%.</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Осигурен е достъп до образование за всички желаещи ученици от ромски произход. Ангажимент на всяко училищно ръководство и на Общината е свеждане до минимум ранното отпадане от училище на тези ученици, както и за мотивиране на завършващите основни училища да продължат средното си образование. Въвеждането в национален мащаб на целодневна организация на учебно-възпитателния процес спомага интеграционния процес. Ежегодно се осигурява транспорт за деца и ученици от дома до детските градини и училищата. При необходимост, всяко училище създава и поддържа библиотечен фонд за учебници и учебни помагала, за да могат децата (предимно от ромски произход) от различни възрастови групи да разполагат с тях. Към училищата работят педагогически </w:t>
      </w:r>
      <w:proofErr w:type="spellStart"/>
      <w:r w:rsidRPr="00DE2F00">
        <w:rPr>
          <w:rFonts w:ascii="Times New Roman" w:hAnsi="Times New Roman" w:cs="Times New Roman"/>
          <w:sz w:val="24"/>
          <w:szCs w:val="24"/>
          <w:lang w:val="bg-BG"/>
        </w:rPr>
        <w:t>съветници</w:t>
      </w:r>
      <w:proofErr w:type="spellEnd"/>
      <w:r w:rsidRPr="00DE2F00">
        <w:rPr>
          <w:rFonts w:ascii="Times New Roman" w:hAnsi="Times New Roman" w:cs="Times New Roman"/>
          <w:sz w:val="24"/>
          <w:szCs w:val="24"/>
          <w:lang w:val="bg-BG"/>
        </w:rPr>
        <w:t>, които са в помощ на децата при решаване на възникнали проблеми. Училищните комисии</w:t>
      </w:r>
      <w:r w:rsidRPr="00DE2F00">
        <w:rPr>
          <w:rFonts w:ascii="Times New Roman" w:hAnsi="Times New Roman" w:cs="Times New Roman"/>
          <w:sz w:val="24"/>
          <w:szCs w:val="24"/>
          <w:lang w:val="ru-RU"/>
        </w:rPr>
        <w:t xml:space="preserve"> </w:t>
      </w:r>
      <w:r w:rsidRPr="00DE2F00">
        <w:rPr>
          <w:rFonts w:ascii="Times New Roman" w:hAnsi="Times New Roman" w:cs="Times New Roman"/>
          <w:sz w:val="24"/>
          <w:szCs w:val="24"/>
          <w:lang w:val="bg-BG"/>
        </w:rPr>
        <w:t>работят в сътрудничество с ОБКБППМН за задържане на учениците, застрашени от отпадане в училище и за превенция на противообществени прояви.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С цел задържане на учениците в училищната общност са създадени възможности за пълноценен живот и свободна изява на учениците от етническите малцинства чрез включването им съобразно техните възможности в разнообразна по съдържание извънкласна дейност (конкурси, спортни състезания, пресъздаване на обичаи и традиции на съответния етнос, певчески и театрални групи и други). Като вид интеграционен процес, много добър резултат за децата от ромски семейства дава и ежегодното организиране и провеждане на лагери, “зелени” и “пътуващи” училища. На 08.04.2017г. в Център за подкрепа за личностно развитие – гр. Троян е отбелязан Международният ден на ромите – 8 април. В празника взеха участие ученици от ОУ „Иван Хаджийски“ – гр. Троян. Проведен е футболен турнир между ученици </w:t>
      </w:r>
      <w:r w:rsidRPr="00DE2F00">
        <w:rPr>
          <w:rFonts w:ascii="Times New Roman" w:hAnsi="Times New Roman" w:cs="Times New Roman"/>
          <w:sz w:val="24"/>
          <w:szCs w:val="24"/>
        </w:rPr>
        <w:t>IV – VIII</w:t>
      </w:r>
      <w:r w:rsidRPr="00DE2F00">
        <w:rPr>
          <w:rFonts w:ascii="Times New Roman" w:hAnsi="Times New Roman" w:cs="Times New Roman"/>
          <w:sz w:val="24"/>
          <w:szCs w:val="24"/>
          <w:lang w:val="bg-BG"/>
        </w:rPr>
        <w:t xml:space="preserve"> клас и следните конкурси: конкурс за рисунка; конкурс за снимка с най-атрактивна ромска носия и видеоклип за типичен танц от ромския фолклор.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Организирани и осъществени са творчески ателиета и образователно-информационна кампания: </w:t>
      </w:r>
      <w:r w:rsidRPr="00DE2F00">
        <w:rPr>
          <w:rFonts w:ascii="Times New Roman" w:hAnsi="Times New Roman" w:cs="Times New Roman"/>
          <w:sz w:val="24"/>
          <w:szCs w:val="24"/>
        </w:rPr>
        <w:t xml:space="preserve">Street Art Fest – </w:t>
      </w:r>
      <w:r w:rsidRPr="00DE2F00">
        <w:rPr>
          <w:rFonts w:ascii="Times New Roman" w:hAnsi="Times New Roman" w:cs="Times New Roman"/>
          <w:sz w:val="24"/>
          <w:szCs w:val="24"/>
          <w:lang w:val="bg-BG"/>
        </w:rPr>
        <w:t xml:space="preserve">„Изкуството да информираш“ – мрежа за намаляване на уязвимостта на деца и младежи от различни възрастови групи и етноси от сексуална експлоатация и посегателства – съвместна инициатива на Община Троян, Българска асоциация по семейно планиране и фондация </w:t>
      </w:r>
      <w:r w:rsidRPr="00DE2F00">
        <w:rPr>
          <w:rFonts w:ascii="Times New Roman" w:hAnsi="Times New Roman" w:cs="Times New Roman"/>
          <w:sz w:val="24"/>
          <w:szCs w:val="24"/>
        </w:rPr>
        <w:t>SEED</w:t>
      </w:r>
      <w:r w:rsidRPr="00DE2F00">
        <w:rPr>
          <w:rFonts w:ascii="Times New Roman" w:hAnsi="Times New Roman" w:cs="Times New Roman"/>
          <w:sz w:val="24"/>
          <w:szCs w:val="24"/>
          <w:lang w:val="bg-BG"/>
        </w:rPr>
        <w:t xml:space="preserve"> с председател Георги Николов – здравен </w:t>
      </w:r>
      <w:proofErr w:type="spellStart"/>
      <w:r w:rsidRPr="00DE2F00">
        <w:rPr>
          <w:rFonts w:ascii="Times New Roman" w:hAnsi="Times New Roman" w:cs="Times New Roman"/>
          <w:sz w:val="24"/>
          <w:szCs w:val="24"/>
          <w:lang w:val="bg-BG"/>
        </w:rPr>
        <w:t>медиатор</w:t>
      </w:r>
      <w:proofErr w:type="spellEnd"/>
      <w:r w:rsidRPr="00DE2F00">
        <w:rPr>
          <w:rFonts w:ascii="Times New Roman" w:hAnsi="Times New Roman" w:cs="Times New Roman"/>
          <w:sz w:val="24"/>
          <w:szCs w:val="24"/>
          <w:lang w:val="bg-BG"/>
        </w:rPr>
        <w:t xml:space="preserve"> от Община </w:t>
      </w:r>
      <w:proofErr w:type="spellStart"/>
      <w:r w:rsidRPr="00DE2F00">
        <w:rPr>
          <w:rFonts w:ascii="Times New Roman" w:hAnsi="Times New Roman" w:cs="Times New Roman"/>
          <w:sz w:val="24"/>
          <w:szCs w:val="24"/>
          <w:lang w:val="bg-BG"/>
        </w:rPr>
        <w:t>Самоков</w:t>
      </w:r>
      <w:proofErr w:type="spellEnd"/>
      <w:r w:rsidRPr="00DE2F00">
        <w:rPr>
          <w:rFonts w:ascii="Times New Roman" w:hAnsi="Times New Roman" w:cs="Times New Roman"/>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Съвместно с главен експерт „Младежки дейности и спорт“, секретарят на </w:t>
      </w:r>
      <w:proofErr w:type="spellStart"/>
      <w:r w:rsidRPr="00DE2F00">
        <w:rPr>
          <w:rFonts w:ascii="Times New Roman" w:hAnsi="Times New Roman" w:cs="Times New Roman"/>
          <w:sz w:val="24"/>
          <w:szCs w:val="24"/>
          <w:lang w:val="bg-BG"/>
        </w:rPr>
        <w:t>ОбКБППМН</w:t>
      </w:r>
      <w:proofErr w:type="spellEnd"/>
      <w:r w:rsidRPr="00DE2F00">
        <w:rPr>
          <w:rFonts w:ascii="Times New Roman" w:hAnsi="Times New Roman" w:cs="Times New Roman"/>
          <w:sz w:val="24"/>
          <w:szCs w:val="24"/>
          <w:lang w:val="bg-BG"/>
        </w:rPr>
        <w:t xml:space="preserve"> и  двамата здравни </w:t>
      </w:r>
      <w:proofErr w:type="spellStart"/>
      <w:r w:rsidRPr="00DE2F00">
        <w:rPr>
          <w:rFonts w:ascii="Times New Roman" w:hAnsi="Times New Roman" w:cs="Times New Roman"/>
          <w:sz w:val="24"/>
          <w:szCs w:val="24"/>
          <w:lang w:val="bg-BG"/>
        </w:rPr>
        <w:t>медиатори</w:t>
      </w:r>
      <w:proofErr w:type="spellEnd"/>
      <w:r w:rsidRPr="00DE2F00">
        <w:rPr>
          <w:rFonts w:ascii="Times New Roman" w:hAnsi="Times New Roman" w:cs="Times New Roman"/>
          <w:sz w:val="24"/>
          <w:szCs w:val="24"/>
          <w:lang w:val="bg-BG"/>
        </w:rPr>
        <w:t xml:space="preserve"> към Община Троян са проведени летни дейности с ромските деца - турнири по футбол, тенис на маса, прожекция на филма „Открадната светлина“ на тема: „Трафик на хора“, участие в спортен празник „Здравей, ваканция без дрога!”.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През месец ноември 2017г. секретарят на </w:t>
      </w:r>
      <w:proofErr w:type="spellStart"/>
      <w:r w:rsidRPr="00DE2F00">
        <w:rPr>
          <w:rFonts w:ascii="Times New Roman" w:hAnsi="Times New Roman" w:cs="Times New Roman"/>
          <w:sz w:val="24"/>
          <w:szCs w:val="24"/>
          <w:lang w:val="bg-BG"/>
        </w:rPr>
        <w:t>ОбКБППМН</w:t>
      </w:r>
      <w:proofErr w:type="spellEnd"/>
      <w:r w:rsidRPr="00DE2F00">
        <w:rPr>
          <w:rFonts w:ascii="Times New Roman" w:hAnsi="Times New Roman" w:cs="Times New Roman"/>
          <w:sz w:val="24"/>
          <w:szCs w:val="24"/>
          <w:lang w:val="bg-BG"/>
        </w:rPr>
        <w:t xml:space="preserve"> и здравните </w:t>
      </w:r>
      <w:proofErr w:type="spellStart"/>
      <w:r w:rsidRPr="00DE2F00">
        <w:rPr>
          <w:rFonts w:ascii="Times New Roman" w:hAnsi="Times New Roman" w:cs="Times New Roman"/>
          <w:sz w:val="24"/>
          <w:szCs w:val="24"/>
          <w:lang w:val="bg-BG"/>
        </w:rPr>
        <w:t>медиатори</w:t>
      </w:r>
      <w:proofErr w:type="spellEnd"/>
      <w:r w:rsidRPr="00DE2F00">
        <w:rPr>
          <w:rFonts w:ascii="Times New Roman" w:hAnsi="Times New Roman" w:cs="Times New Roman"/>
          <w:sz w:val="24"/>
          <w:szCs w:val="24"/>
          <w:lang w:val="bg-BG"/>
        </w:rPr>
        <w:t xml:space="preserve"> от Община Троян провеждат срещи-разговори с деца от ромски произход в ПГМЕТ – гр. Троян и беседват по различни теми. Интерес предизвика темата: „Ранни бракове и опасностите, които те крият по отношение на здравето, развитието и реализацията“.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За решаването на проблемите е необходимо:</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 xml:space="preserve">Формиране на достатъчно пълна и надеждна база данни за здравните нужди и проблеми  на ромското население;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 xml:space="preserve">Повишаване на здравната култура сред ромското малцинство посредством различни форми на обучение;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 xml:space="preserve">Провеждане на текущ санитарен и </w:t>
      </w:r>
      <w:proofErr w:type="spellStart"/>
      <w:r w:rsidRPr="00DE2F00">
        <w:rPr>
          <w:rFonts w:ascii="Times New Roman" w:hAnsi="Times New Roman" w:cs="Times New Roman"/>
          <w:sz w:val="24"/>
          <w:szCs w:val="24"/>
          <w:lang w:val="bg-BG"/>
        </w:rPr>
        <w:t>противоепидемиологичен</w:t>
      </w:r>
      <w:proofErr w:type="spellEnd"/>
      <w:r w:rsidRPr="00DE2F00">
        <w:rPr>
          <w:rFonts w:ascii="Times New Roman" w:hAnsi="Times New Roman" w:cs="Times New Roman"/>
          <w:sz w:val="24"/>
          <w:szCs w:val="24"/>
          <w:lang w:val="bg-BG"/>
        </w:rPr>
        <w:t xml:space="preserve"> контрол от съответните органи;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 xml:space="preserve">Включване на малцинствените групи в превантивни здравни програми  със съдействието на семейните лекари и НПО;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r>
      <w:proofErr w:type="spellStart"/>
      <w:r w:rsidRPr="00DE2F00">
        <w:rPr>
          <w:rFonts w:ascii="Times New Roman" w:hAnsi="Times New Roman" w:cs="Times New Roman"/>
          <w:sz w:val="24"/>
          <w:szCs w:val="24"/>
          <w:lang w:val="bg-BG"/>
        </w:rPr>
        <w:t>Релизиране</w:t>
      </w:r>
      <w:proofErr w:type="spellEnd"/>
      <w:r w:rsidRPr="00DE2F00">
        <w:rPr>
          <w:rFonts w:ascii="Times New Roman" w:hAnsi="Times New Roman" w:cs="Times New Roman"/>
          <w:sz w:val="24"/>
          <w:szCs w:val="24"/>
          <w:lang w:val="bg-BG"/>
        </w:rPr>
        <w:t xml:space="preserve"> на дейности за максимално обхващане на всички подлежащи на имунизация вкл. и чрез разкриване на временни </w:t>
      </w:r>
      <w:proofErr w:type="spellStart"/>
      <w:r w:rsidRPr="00DE2F00">
        <w:rPr>
          <w:rFonts w:ascii="Times New Roman" w:hAnsi="Times New Roman" w:cs="Times New Roman"/>
          <w:sz w:val="24"/>
          <w:szCs w:val="24"/>
          <w:lang w:val="bg-BG"/>
        </w:rPr>
        <w:t>имунизационни</w:t>
      </w:r>
      <w:proofErr w:type="spellEnd"/>
      <w:r w:rsidRPr="00DE2F00">
        <w:rPr>
          <w:rFonts w:ascii="Times New Roman" w:hAnsi="Times New Roman" w:cs="Times New Roman"/>
          <w:sz w:val="24"/>
          <w:szCs w:val="24"/>
          <w:lang w:val="bg-BG"/>
        </w:rPr>
        <w:t xml:space="preserve"> пунктове и/или създаване на мобилни екипи на РЗИ, участието на НПО и ромски лидери в провеждането на  извънредни </w:t>
      </w:r>
      <w:proofErr w:type="spellStart"/>
      <w:r w:rsidRPr="00DE2F00">
        <w:rPr>
          <w:rFonts w:ascii="Times New Roman" w:hAnsi="Times New Roman" w:cs="Times New Roman"/>
          <w:sz w:val="24"/>
          <w:szCs w:val="24"/>
          <w:lang w:val="bg-BG"/>
        </w:rPr>
        <w:t>имунизационни</w:t>
      </w:r>
      <w:proofErr w:type="spellEnd"/>
      <w:r w:rsidRPr="00DE2F00">
        <w:rPr>
          <w:rFonts w:ascii="Times New Roman" w:hAnsi="Times New Roman" w:cs="Times New Roman"/>
          <w:sz w:val="24"/>
          <w:szCs w:val="24"/>
          <w:lang w:val="bg-BG"/>
        </w:rPr>
        <w:t xml:space="preserve"> кампании за деца и възрастни;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 xml:space="preserve">Гарантиране устойчивостта на провежданите политики за социална и здравна интеграция на местно ниво.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За разрешаването на проблемите на Община Троян, в помощ на администрацията работят двама здравни </w:t>
      </w:r>
      <w:proofErr w:type="spellStart"/>
      <w:r w:rsidRPr="00DE2F00">
        <w:rPr>
          <w:rFonts w:ascii="Times New Roman" w:hAnsi="Times New Roman" w:cs="Times New Roman"/>
          <w:sz w:val="24"/>
          <w:szCs w:val="24"/>
          <w:lang w:val="bg-BG"/>
        </w:rPr>
        <w:t>медиатори</w:t>
      </w:r>
      <w:proofErr w:type="spellEnd"/>
      <w:r w:rsidRPr="00DE2F00">
        <w:rPr>
          <w:rFonts w:ascii="Times New Roman" w:hAnsi="Times New Roman" w:cs="Times New Roman"/>
          <w:sz w:val="24"/>
          <w:szCs w:val="24"/>
          <w:lang w:val="bg-BG"/>
        </w:rPr>
        <w:t xml:space="preserve">. Първоначално започват работа по проект на Сдружение „Национална мрежа на здравните </w:t>
      </w:r>
      <w:proofErr w:type="spellStart"/>
      <w:r w:rsidRPr="00DE2F00">
        <w:rPr>
          <w:rFonts w:ascii="Times New Roman" w:hAnsi="Times New Roman" w:cs="Times New Roman"/>
          <w:sz w:val="24"/>
          <w:szCs w:val="24"/>
          <w:lang w:val="bg-BG"/>
        </w:rPr>
        <w:t>медиатори</w:t>
      </w:r>
      <w:proofErr w:type="spellEnd"/>
      <w:r w:rsidRPr="00DE2F00">
        <w:rPr>
          <w:rFonts w:ascii="Times New Roman" w:hAnsi="Times New Roman" w:cs="Times New Roman"/>
          <w:sz w:val="24"/>
          <w:szCs w:val="24"/>
          <w:lang w:val="bg-BG"/>
        </w:rPr>
        <w:t xml:space="preserve">”, в последствие и двамата са назначени на трудов договор в държавно делегирана дейност "Други дейности по здравеопазването". Тяхната дейност е насочена към оказване на съдействие при реализиране на профилактични дейности и разяснителни кампании в ромските общности в Община Троян и съдействие на нуждаещи се от малцинствените групи за достъп до здравни услуги. Здравните </w:t>
      </w:r>
      <w:proofErr w:type="spellStart"/>
      <w:r w:rsidRPr="00DE2F00">
        <w:rPr>
          <w:rFonts w:ascii="Times New Roman" w:hAnsi="Times New Roman" w:cs="Times New Roman"/>
          <w:sz w:val="24"/>
          <w:szCs w:val="24"/>
          <w:lang w:val="bg-BG"/>
        </w:rPr>
        <w:t>медиатори</w:t>
      </w:r>
      <w:proofErr w:type="spellEnd"/>
      <w:r w:rsidRPr="00DE2F00">
        <w:rPr>
          <w:rFonts w:ascii="Times New Roman" w:hAnsi="Times New Roman" w:cs="Times New Roman"/>
          <w:sz w:val="24"/>
          <w:szCs w:val="24"/>
          <w:lang w:val="bg-BG"/>
        </w:rPr>
        <w:t xml:space="preserve"> подпомагат общуването между лицата от малцинствените общности  със здравните и социални служби, общинска администрация, училища , ДГ.</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Предприетите мерки за разрешаване на проблемите са свързани с активизиране дейността на здравните </w:t>
      </w:r>
      <w:proofErr w:type="spellStart"/>
      <w:r w:rsidRPr="00DE2F00">
        <w:rPr>
          <w:rFonts w:ascii="Times New Roman" w:hAnsi="Times New Roman" w:cs="Times New Roman"/>
          <w:sz w:val="24"/>
          <w:szCs w:val="24"/>
          <w:lang w:val="bg-BG"/>
        </w:rPr>
        <w:t>медиатори</w:t>
      </w:r>
      <w:proofErr w:type="spellEnd"/>
      <w:r w:rsidRPr="00DE2F00">
        <w:rPr>
          <w:rFonts w:ascii="Times New Roman" w:hAnsi="Times New Roman" w:cs="Times New Roman"/>
          <w:sz w:val="24"/>
          <w:szCs w:val="24"/>
          <w:lang w:val="bg-BG"/>
        </w:rPr>
        <w:t xml:space="preserve">  и в частност:</w:t>
      </w:r>
    </w:p>
    <w:p w:rsidR="00DE2F00" w:rsidRPr="00DE2F00" w:rsidRDefault="00DE2F00" w:rsidP="00DE2F00">
      <w:pPr>
        <w:pStyle w:val="ListParagraph"/>
        <w:ind w:left="0"/>
        <w:jc w:val="both"/>
        <w:rPr>
          <w:rFonts w:ascii="Times New Roman" w:hAnsi="Times New Roman" w:cs="Times New Roman"/>
          <w:i/>
          <w:sz w:val="24"/>
          <w:szCs w:val="24"/>
          <w:lang w:val="bg-BG"/>
        </w:rPr>
      </w:pPr>
      <w:r w:rsidRPr="00DE2F00">
        <w:rPr>
          <w:rFonts w:ascii="Times New Roman" w:hAnsi="Times New Roman" w:cs="Times New Roman"/>
          <w:i/>
          <w:sz w:val="24"/>
          <w:szCs w:val="24"/>
          <w:lang w:val="bg-BG"/>
        </w:rPr>
        <w:t>Здравен статус:</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Консултация – 365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Попълване на документи – 8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Следване на процедури – 305бр.;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 xml:space="preserve">Придружавания до здравни институции –113 </w:t>
      </w:r>
      <w:proofErr w:type="spellStart"/>
      <w:r w:rsidRPr="00DE2F00">
        <w:rPr>
          <w:rFonts w:ascii="Times New Roman" w:hAnsi="Times New Roman" w:cs="Times New Roman"/>
          <w:sz w:val="24"/>
          <w:szCs w:val="24"/>
          <w:lang w:val="bg-BG"/>
        </w:rPr>
        <w:t>бр</w:t>
      </w:r>
      <w:proofErr w:type="spellEnd"/>
      <w:r w:rsidRPr="00DE2F00">
        <w:rPr>
          <w:rFonts w:ascii="Times New Roman" w:hAnsi="Times New Roman" w:cs="Times New Roman"/>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Възстановяване на здравно-осигурителни права – 3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патронаж в общността - 128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Съдействие на ЗМ за осъществяване на планови имунизации – деца 8 бр.;</w:t>
      </w:r>
    </w:p>
    <w:p w:rsidR="00DE2F00" w:rsidRPr="00DE2F00" w:rsidRDefault="00DE2F00" w:rsidP="00DE2F00">
      <w:pPr>
        <w:pStyle w:val="ListParagraph"/>
        <w:ind w:left="0"/>
        <w:jc w:val="both"/>
        <w:rPr>
          <w:rFonts w:ascii="Times New Roman" w:hAnsi="Times New Roman" w:cs="Times New Roman"/>
          <w:i/>
          <w:sz w:val="24"/>
          <w:szCs w:val="24"/>
          <w:lang w:val="bg-BG"/>
        </w:rPr>
      </w:pPr>
      <w:r w:rsidRPr="00DE2F00">
        <w:rPr>
          <w:rFonts w:ascii="Times New Roman" w:hAnsi="Times New Roman" w:cs="Times New Roman"/>
          <w:i/>
          <w:sz w:val="24"/>
          <w:szCs w:val="24"/>
          <w:lang w:val="bg-BG"/>
        </w:rPr>
        <w:t>По социален казус:</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Консултация – 368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 xml:space="preserve">Брой индивидуални съдействия  по здравни въпроси – 96 </w:t>
      </w:r>
      <w:proofErr w:type="spellStart"/>
      <w:r w:rsidRPr="00DE2F00">
        <w:rPr>
          <w:rFonts w:ascii="Times New Roman" w:hAnsi="Times New Roman" w:cs="Times New Roman"/>
          <w:sz w:val="24"/>
          <w:szCs w:val="24"/>
          <w:lang w:val="bg-BG"/>
        </w:rPr>
        <w:t>бр</w:t>
      </w:r>
      <w:proofErr w:type="spellEnd"/>
      <w:r w:rsidRPr="00DE2F00">
        <w:rPr>
          <w:rFonts w:ascii="Times New Roman" w:hAnsi="Times New Roman" w:cs="Times New Roman"/>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Попълване на документи – 15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Следване на процедури - 273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Съпровождане до социални институции – 86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Патронаж в общността – 176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i/>
          <w:sz w:val="24"/>
          <w:szCs w:val="24"/>
          <w:lang w:val="bg-BG"/>
        </w:rPr>
        <w:t>Здравно – информационни мероприятия</w:t>
      </w:r>
      <w:r w:rsidRPr="00DE2F00">
        <w:rPr>
          <w:rFonts w:ascii="Times New Roman" w:hAnsi="Times New Roman" w:cs="Times New Roman"/>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Превенция на заболявания – 64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Семейно планиране и  сексуално здраве – 13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w:t>
      </w:r>
      <w:r w:rsidRPr="00DE2F00">
        <w:rPr>
          <w:rFonts w:ascii="Times New Roman" w:hAnsi="Times New Roman" w:cs="Times New Roman"/>
          <w:sz w:val="24"/>
          <w:szCs w:val="24"/>
          <w:lang w:val="bg-BG"/>
        </w:rPr>
        <w:tab/>
        <w:t>Раздадени информационни материали – 176 бр.;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i/>
          <w:sz w:val="24"/>
          <w:szCs w:val="24"/>
          <w:lang w:val="bg-BG"/>
        </w:rPr>
        <w:t>Участия в семинари - 9</w:t>
      </w:r>
      <w:r w:rsidRPr="00DE2F00">
        <w:rPr>
          <w:rFonts w:ascii="Times New Roman" w:hAnsi="Times New Roman" w:cs="Times New Roman"/>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Общината предприема набор от мерки, целящи реализирането на един от основните приоритети – повишаване на образоваността сред уязвимите в социално отношение общности и решаване на част от проблемите им. Преди всяка учебна година се предприемат всички необходими стъпки за пълно обхващане на подлежащи на задължително обучение деца и ученици в подготвителна група и І клас. Подлежащи на записване в първи клас за учебната 2017/2018 година (по данни на ЕСГРАОН, по настоящ адрес) са 211 деца; броят на записаните ученици за община Троян е 201.</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За учебната 2016/2017</w:t>
      </w:r>
      <w:r w:rsidRPr="00DE2F00">
        <w:rPr>
          <w:rFonts w:ascii="Times New Roman" w:hAnsi="Times New Roman" w:cs="Times New Roman"/>
          <w:sz w:val="24"/>
          <w:szCs w:val="24"/>
        </w:rPr>
        <w:t xml:space="preserve"> </w:t>
      </w:r>
      <w:r w:rsidRPr="00DE2F00">
        <w:rPr>
          <w:rFonts w:ascii="Times New Roman" w:hAnsi="Times New Roman" w:cs="Times New Roman"/>
          <w:sz w:val="24"/>
          <w:szCs w:val="24"/>
          <w:lang w:val="bg-BG"/>
        </w:rPr>
        <w:t xml:space="preserve">година общият брой на 4-, 5- и 6-годишни деца, включени в предучилищното възпитание и подготовка, е: подлежащи по настоящ адрес – 610, записани в училища и детски градини /към 30.09.2016г./ - 548 (като в броя на подлежащите са включени деца, които са тръгнали на училище на 6 години; деца, които са напуснали града или страната, но адресната регистрация не е променена). Броят на  отпадащите от общия брой учащи за същата учебна година е 6, в т.ч. по възрастови групи: (7 – 11г.) – 0, (12 – 14г.) – 4, (15 – 17г.) – 2, (18 – 19г.) – 0. По информация от училищата общо 13 ученици са непосещавали училище, в т.ч. по възрастови групи: (7 – 11г.) – 0, (12 – 14г.) – 1, (15 – 17г.) – 6, (18 – 19г.) – 6. В тази връзка са предприети мерки – за част от случаите са открити възпитателни дела от </w:t>
      </w:r>
      <w:proofErr w:type="spellStart"/>
      <w:r w:rsidRPr="00DE2F00">
        <w:rPr>
          <w:rFonts w:ascii="Times New Roman" w:hAnsi="Times New Roman" w:cs="Times New Roman"/>
          <w:sz w:val="24"/>
          <w:szCs w:val="24"/>
          <w:lang w:val="bg-BG"/>
        </w:rPr>
        <w:t>ОбКБППМН</w:t>
      </w:r>
      <w:proofErr w:type="spellEnd"/>
      <w:r w:rsidRPr="00DE2F00">
        <w:rPr>
          <w:rFonts w:ascii="Times New Roman" w:hAnsi="Times New Roman" w:cs="Times New Roman"/>
          <w:sz w:val="24"/>
          <w:szCs w:val="24"/>
          <w:lang w:val="bg-BG"/>
        </w:rPr>
        <w:t xml:space="preserve"> – Троян.</w:t>
      </w:r>
    </w:p>
    <w:p w:rsidR="00DE2F00" w:rsidRPr="00DE2F00" w:rsidRDefault="00DE2F00" w:rsidP="00DE2F00">
      <w:pPr>
        <w:pStyle w:val="ListParagraph"/>
        <w:ind w:left="0"/>
        <w:jc w:val="both"/>
        <w:rPr>
          <w:rFonts w:ascii="Times New Roman" w:hAnsi="Times New Roman" w:cs="Times New Roman"/>
          <w:sz w:val="24"/>
          <w:szCs w:val="24"/>
          <w:u w:val="single"/>
          <w:lang w:val="bg-BG"/>
        </w:rPr>
      </w:pPr>
      <w:r w:rsidRPr="00DE2F00">
        <w:rPr>
          <w:rFonts w:ascii="Times New Roman" w:hAnsi="Times New Roman" w:cs="Times New Roman"/>
          <w:sz w:val="24"/>
          <w:szCs w:val="24"/>
          <w:lang w:val="bg-BG"/>
        </w:rPr>
        <w:t>Ражданията през 2017 г. в общината на майки под 18 г. са 10, от тях 8 са от ромски произход.</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Включени в програми за заетост продължили работа и през 2017 г. - 33 лица, от тях 2-ма (6%) са се самоопределили като роми.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Не са извършвани обучения с </w:t>
      </w:r>
      <w:proofErr w:type="spellStart"/>
      <w:r w:rsidRPr="00DE2F00">
        <w:rPr>
          <w:rFonts w:ascii="Times New Roman" w:hAnsi="Times New Roman" w:cs="Times New Roman"/>
          <w:sz w:val="24"/>
          <w:szCs w:val="24"/>
          <w:lang w:val="bg-BG"/>
        </w:rPr>
        <w:t>последваща</w:t>
      </w:r>
      <w:proofErr w:type="spellEnd"/>
      <w:r w:rsidRPr="00DE2F00">
        <w:rPr>
          <w:rFonts w:ascii="Times New Roman" w:hAnsi="Times New Roman" w:cs="Times New Roman"/>
          <w:sz w:val="24"/>
          <w:szCs w:val="24"/>
          <w:lang w:val="bg-BG"/>
        </w:rPr>
        <w:t xml:space="preserve"> заетост през отчетния период.</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Община Троян ежемесечно след 20 число на отчетния месец получава бюлетин от Дирекция „Бюро по труда Троян“ с данни.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Към 31.12.2017 г. броят на регистрираните безработни в Община Троян са 807, от тях 36 са роми, от които 12 са продължително безработни (с регистрация над 12 месеца).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Коефициента на регистрирана безработица в Община Троян е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за 2016 г. 5, 7 % или 826 лица;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за 2017 г. 5,6 % или 807 лица.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Делът на продължително безработните лица е:</w:t>
      </w:r>
    </w:p>
    <w:p w:rsidR="00DE2F00" w:rsidRPr="00DE2F00" w:rsidRDefault="00DE2F00" w:rsidP="004C1FE0">
      <w:pPr>
        <w:pStyle w:val="ListParagraph"/>
        <w:numPr>
          <w:ilvl w:val="0"/>
          <w:numId w:val="15"/>
        </w:numPr>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за 2016 г. 28 % или 269 лица;</w:t>
      </w:r>
    </w:p>
    <w:p w:rsidR="00DE2F00" w:rsidRPr="00DE2F00" w:rsidRDefault="00DE2F00" w:rsidP="004C1FE0">
      <w:pPr>
        <w:pStyle w:val="ListParagraph"/>
        <w:numPr>
          <w:ilvl w:val="0"/>
          <w:numId w:val="15"/>
        </w:numPr>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за 2017 г. 19 % или 179 лица.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Ромското население в Община Троян е концентрирано предимно в кварталите и махалите на гр. Троян: общинско общежитие  на БКС в кв.“</w:t>
      </w:r>
      <w:proofErr w:type="spellStart"/>
      <w:r w:rsidRPr="00DE2F00">
        <w:rPr>
          <w:rFonts w:ascii="Times New Roman" w:hAnsi="Times New Roman" w:cs="Times New Roman"/>
          <w:sz w:val="24"/>
          <w:szCs w:val="24"/>
          <w:lang w:val="bg-BG"/>
        </w:rPr>
        <w:t>Търнето</w:t>
      </w:r>
      <w:proofErr w:type="spellEnd"/>
      <w:r w:rsidRPr="00DE2F00">
        <w:rPr>
          <w:rFonts w:ascii="Times New Roman" w:hAnsi="Times New Roman" w:cs="Times New Roman"/>
          <w:sz w:val="24"/>
          <w:szCs w:val="24"/>
          <w:lang w:val="bg-BG"/>
        </w:rPr>
        <w:t xml:space="preserve">“, общежитие </w:t>
      </w:r>
      <w:proofErr w:type="spellStart"/>
      <w:r w:rsidRPr="00DE2F00">
        <w:rPr>
          <w:rFonts w:ascii="Times New Roman" w:hAnsi="Times New Roman" w:cs="Times New Roman"/>
          <w:sz w:val="24"/>
          <w:szCs w:val="24"/>
          <w:lang w:val="bg-BG"/>
        </w:rPr>
        <w:t>мах</w:t>
      </w:r>
      <w:proofErr w:type="spellEnd"/>
      <w:r w:rsidRPr="00DE2F00">
        <w:rPr>
          <w:rFonts w:ascii="Times New Roman" w:hAnsi="Times New Roman" w:cs="Times New Roman"/>
          <w:sz w:val="24"/>
          <w:szCs w:val="24"/>
          <w:lang w:val="bg-BG"/>
        </w:rPr>
        <w:t>. ,,</w:t>
      </w:r>
      <w:proofErr w:type="spellStart"/>
      <w:r w:rsidRPr="00DE2F00">
        <w:rPr>
          <w:rFonts w:ascii="Times New Roman" w:hAnsi="Times New Roman" w:cs="Times New Roman"/>
          <w:sz w:val="24"/>
          <w:szCs w:val="24"/>
          <w:lang w:val="bg-BG"/>
        </w:rPr>
        <w:t>Червянска</w:t>
      </w:r>
      <w:proofErr w:type="spellEnd"/>
      <w:r w:rsidRPr="00DE2F00">
        <w:rPr>
          <w:rFonts w:ascii="Times New Roman" w:hAnsi="Times New Roman" w:cs="Times New Roman"/>
          <w:sz w:val="24"/>
          <w:szCs w:val="24"/>
          <w:lang w:val="bg-BG"/>
        </w:rPr>
        <w:t xml:space="preserve"> лъка“, „</w:t>
      </w:r>
      <w:proofErr w:type="spellStart"/>
      <w:r w:rsidRPr="00DE2F00">
        <w:rPr>
          <w:rFonts w:ascii="Times New Roman" w:hAnsi="Times New Roman" w:cs="Times New Roman"/>
          <w:sz w:val="24"/>
          <w:szCs w:val="24"/>
          <w:lang w:val="bg-BG"/>
        </w:rPr>
        <w:t>Алдишки</w:t>
      </w:r>
      <w:proofErr w:type="spellEnd"/>
      <w:r w:rsidRPr="00DE2F00">
        <w:rPr>
          <w:rFonts w:ascii="Times New Roman" w:hAnsi="Times New Roman" w:cs="Times New Roman"/>
          <w:sz w:val="24"/>
          <w:szCs w:val="24"/>
          <w:lang w:val="bg-BG"/>
        </w:rPr>
        <w:t xml:space="preserve"> рът“, „</w:t>
      </w:r>
      <w:proofErr w:type="spellStart"/>
      <w:r w:rsidRPr="00DE2F00">
        <w:rPr>
          <w:rFonts w:ascii="Times New Roman" w:hAnsi="Times New Roman" w:cs="Times New Roman"/>
          <w:sz w:val="24"/>
          <w:szCs w:val="24"/>
          <w:lang w:val="bg-BG"/>
        </w:rPr>
        <w:t>Коньова</w:t>
      </w:r>
      <w:proofErr w:type="spellEnd"/>
      <w:r w:rsidRPr="00DE2F00">
        <w:rPr>
          <w:rFonts w:ascii="Times New Roman" w:hAnsi="Times New Roman" w:cs="Times New Roman"/>
          <w:sz w:val="24"/>
          <w:szCs w:val="24"/>
          <w:lang w:val="bg-BG"/>
        </w:rPr>
        <w:t xml:space="preserve"> могила“, „</w:t>
      </w:r>
      <w:proofErr w:type="spellStart"/>
      <w:r w:rsidRPr="00DE2F00">
        <w:rPr>
          <w:rFonts w:ascii="Times New Roman" w:hAnsi="Times New Roman" w:cs="Times New Roman"/>
          <w:sz w:val="24"/>
          <w:szCs w:val="24"/>
          <w:lang w:val="bg-BG"/>
        </w:rPr>
        <w:t>Стойчески</w:t>
      </w:r>
      <w:proofErr w:type="spellEnd"/>
      <w:r w:rsidRPr="00DE2F00">
        <w:rPr>
          <w:rFonts w:ascii="Times New Roman" w:hAnsi="Times New Roman" w:cs="Times New Roman"/>
          <w:sz w:val="24"/>
          <w:szCs w:val="24"/>
          <w:lang w:val="bg-BG"/>
        </w:rPr>
        <w:t xml:space="preserve"> рът“, „</w:t>
      </w:r>
      <w:proofErr w:type="spellStart"/>
      <w:r w:rsidRPr="00DE2F00">
        <w:rPr>
          <w:rFonts w:ascii="Times New Roman" w:hAnsi="Times New Roman" w:cs="Times New Roman"/>
          <w:sz w:val="24"/>
          <w:szCs w:val="24"/>
          <w:lang w:val="bg-BG"/>
        </w:rPr>
        <w:t>Белишки</w:t>
      </w:r>
      <w:proofErr w:type="spellEnd"/>
      <w:r w:rsidRPr="00DE2F00">
        <w:rPr>
          <w:rFonts w:ascii="Times New Roman" w:hAnsi="Times New Roman" w:cs="Times New Roman"/>
          <w:sz w:val="24"/>
          <w:szCs w:val="24"/>
          <w:lang w:val="bg-BG"/>
        </w:rPr>
        <w:t xml:space="preserve"> Орешак“, кв. „</w:t>
      </w:r>
      <w:proofErr w:type="spellStart"/>
      <w:r w:rsidRPr="00DE2F00">
        <w:rPr>
          <w:rFonts w:ascii="Times New Roman" w:hAnsi="Times New Roman" w:cs="Times New Roman"/>
          <w:sz w:val="24"/>
          <w:szCs w:val="24"/>
          <w:lang w:val="bg-BG"/>
        </w:rPr>
        <w:t>Велчевски</w:t>
      </w:r>
      <w:proofErr w:type="spellEnd"/>
      <w:r w:rsidRPr="00DE2F00">
        <w:rPr>
          <w:rFonts w:ascii="Times New Roman" w:hAnsi="Times New Roman" w:cs="Times New Roman"/>
          <w:sz w:val="24"/>
          <w:szCs w:val="24"/>
          <w:lang w:val="bg-BG"/>
        </w:rPr>
        <w:t>“, бивша асфалтова база зад складовете на ,,Топливо“, зад ,,Балканфарма“, кв.“</w:t>
      </w:r>
      <w:proofErr w:type="spellStart"/>
      <w:r w:rsidRPr="00DE2F00">
        <w:rPr>
          <w:rFonts w:ascii="Times New Roman" w:hAnsi="Times New Roman" w:cs="Times New Roman"/>
          <w:sz w:val="24"/>
          <w:szCs w:val="24"/>
          <w:lang w:val="bg-BG"/>
        </w:rPr>
        <w:t>Ливадето</w:t>
      </w:r>
      <w:proofErr w:type="spellEnd"/>
      <w:r w:rsidRPr="00DE2F00">
        <w:rPr>
          <w:rFonts w:ascii="Times New Roman" w:hAnsi="Times New Roman" w:cs="Times New Roman"/>
          <w:sz w:val="24"/>
          <w:szCs w:val="24"/>
          <w:lang w:val="bg-BG"/>
        </w:rPr>
        <w:t>“, селата Горно Трапе, Ломец, Добродан и Орешак.</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В по-голямата си част ромите живеят капсулирано и бедно. Често в една къща живеят няколко семейства, обикновено с три, четири и повече деца.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Общината непрекъснато полага усилия за подобряване на инфраструктурата на тези квартали, като се плануват и реализират редица инициативи. Въпреки, че има изградена система за </w:t>
      </w:r>
      <w:proofErr w:type="spellStart"/>
      <w:r w:rsidRPr="00DE2F00">
        <w:rPr>
          <w:rFonts w:ascii="Times New Roman" w:hAnsi="Times New Roman" w:cs="Times New Roman"/>
          <w:sz w:val="24"/>
          <w:szCs w:val="24"/>
          <w:lang w:val="bg-BG"/>
        </w:rPr>
        <w:t>сметопочистване</w:t>
      </w:r>
      <w:proofErr w:type="spellEnd"/>
      <w:r w:rsidRPr="00DE2F00">
        <w:rPr>
          <w:rFonts w:ascii="Times New Roman" w:hAnsi="Times New Roman" w:cs="Times New Roman"/>
          <w:sz w:val="24"/>
          <w:szCs w:val="24"/>
          <w:lang w:val="bg-BG"/>
        </w:rPr>
        <w:t xml:space="preserve">, контейнерите не винаги се използват по предназначение.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ab/>
        <w:t xml:space="preserve">Жилищният фонд, обитаван от ромско население,  в преобладаваща си част е в лошо състояние. Предимно това са незаконни постройки които не разполагат с необходимите помещения за поддържане на хигиена. В някои дори няма електричество. Живущите в тях роми не са в състояние да отделят средства за поддръжка и подобряване. Това се дължи на факта, че по-голяма част са трайно безработни и социално слаби и не разполагат с необходимите средства за подобряване условията си на живот. </w:t>
      </w:r>
      <w:r w:rsidRPr="00DE2F00">
        <w:rPr>
          <w:rFonts w:ascii="Times New Roman" w:hAnsi="Times New Roman" w:cs="Times New Roman"/>
          <w:sz w:val="24"/>
          <w:szCs w:val="24"/>
          <w:lang w:val="bg-BG"/>
        </w:rPr>
        <w:tab/>
        <w:t xml:space="preserve">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В жилищата от общинския жилищен фонд са настанени общо 106 семейства, от тях  50 от ромски произход. Преобладаващо ромите са настанени в двете общински общежития – </w:t>
      </w:r>
      <w:proofErr w:type="spellStart"/>
      <w:r w:rsidRPr="00DE2F00">
        <w:rPr>
          <w:rFonts w:ascii="Times New Roman" w:hAnsi="Times New Roman" w:cs="Times New Roman"/>
          <w:sz w:val="24"/>
          <w:szCs w:val="24"/>
          <w:lang w:val="bg-BG"/>
        </w:rPr>
        <w:t>мах</w:t>
      </w:r>
      <w:proofErr w:type="spellEnd"/>
      <w:r w:rsidRPr="00DE2F00">
        <w:rPr>
          <w:rFonts w:ascii="Times New Roman" w:hAnsi="Times New Roman" w:cs="Times New Roman"/>
          <w:sz w:val="24"/>
          <w:szCs w:val="24"/>
          <w:lang w:val="bg-BG"/>
        </w:rPr>
        <w:t>.”</w:t>
      </w:r>
      <w:proofErr w:type="spellStart"/>
      <w:r w:rsidRPr="00DE2F00">
        <w:rPr>
          <w:rFonts w:ascii="Times New Roman" w:hAnsi="Times New Roman" w:cs="Times New Roman"/>
          <w:sz w:val="24"/>
          <w:szCs w:val="24"/>
          <w:lang w:val="bg-BG"/>
        </w:rPr>
        <w:t>Дудевска</w:t>
      </w:r>
      <w:proofErr w:type="spellEnd"/>
      <w:r w:rsidRPr="00DE2F00">
        <w:rPr>
          <w:rFonts w:ascii="Times New Roman" w:hAnsi="Times New Roman" w:cs="Times New Roman"/>
          <w:sz w:val="24"/>
          <w:szCs w:val="24"/>
          <w:lang w:val="bg-BG"/>
        </w:rPr>
        <w:t>” № 1 и кв.”</w:t>
      </w:r>
      <w:proofErr w:type="spellStart"/>
      <w:r w:rsidRPr="00DE2F00">
        <w:rPr>
          <w:rFonts w:ascii="Times New Roman" w:hAnsi="Times New Roman" w:cs="Times New Roman"/>
          <w:sz w:val="24"/>
          <w:szCs w:val="24"/>
          <w:lang w:val="bg-BG"/>
        </w:rPr>
        <w:t>Търнето</w:t>
      </w:r>
      <w:proofErr w:type="spellEnd"/>
      <w:r w:rsidRPr="00DE2F00">
        <w:rPr>
          <w:rFonts w:ascii="Times New Roman" w:hAnsi="Times New Roman" w:cs="Times New Roman"/>
          <w:sz w:val="24"/>
          <w:szCs w:val="24"/>
          <w:lang w:val="bg-BG"/>
        </w:rPr>
        <w:t xml:space="preserve">” и няколко семейства са настанени в общински къщи в града. Състоянието на общежитията като сгради е добро, поради усилията на общината да ги поддържа. Семействата настанените в къщи полагат усилия и стопанисват сравнително добре тези имоти.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ab/>
        <w:t>При необходимост се разходват средства от общинския бюджет за ремонт на в жилищата обитавани от ромски семейства.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ab/>
        <w:t xml:space="preserve">Със средства от общинския бюджет в размер са поставени водомери и открити индивидуални </w:t>
      </w:r>
      <w:proofErr w:type="spellStart"/>
      <w:r w:rsidRPr="00DE2F00">
        <w:rPr>
          <w:rFonts w:ascii="Times New Roman" w:hAnsi="Times New Roman" w:cs="Times New Roman"/>
          <w:sz w:val="24"/>
          <w:szCs w:val="24"/>
          <w:lang w:val="bg-BG"/>
        </w:rPr>
        <w:t>ВиК</w:t>
      </w:r>
      <w:proofErr w:type="spellEnd"/>
      <w:r w:rsidRPr="00DE2F00">
        <w:rPr>
          <w:rFonts w:ascii="Times New Roman" w:hAnsi="Times New Roman" w:cs="Times New Roman"/>
          <w:sz w:val="24"/>
          <w:szCs w:val="24"/>
          <w:lang w:val="bg-BG"/>
        </w:rPr>
        <w:t xml:space="preserve"> партиди на 31 броя домакинства настанени в общежитие </w:t>
      </w:r>
      <w:proofErr w:type="spellStart"/>
      <w:r w:rsidRPr="00DE2F00">
        <w:rPr>
          <w:rFonts w:ascii="Times New Roman" w:hAnsi="Times New Roman" w:cs="Times New Roman"/>
          <w:sz w:val="24"/>
          <w:szCs w:val="24"/>
          <w:lang w:val="bg-BG"/>
        </w:rPr>
        <w:t>мах</w:t>
      </w:r>
      <w:proofErr w:type="spellEnd"/>
      <w:r w:rsidRPr="00DE2F00">
        <w:rPr>
          <w:rFonts w:ascii="Times New Roman" w:hAnsi="Times New Roman" w:cs="Times New Roman"/>
          <w:sz w:val="24"/>
          <w:szCs w:val="24"/>
          <w:lang w:val="bg-BG"/>
        </w:rPr>
        <w:t>. „</w:t>
      </w:r>
      <w:proofErr w:type="spellStart"/>
      <w:r w:rsidRPr="00DE2F00">
        <w:rPr>
          <w:rFonts w:ascii="Times New Roman" w:hAnsi="Times New Roman" w:cs="Times New Roman"/>
          <w:sz w:val="24"/>
          <w:szCs w:val="24"/>
          <w:lang w:val="bg-BG"/>
        </w:rPr>
        <w:t>Дудевска</w:t>
      </w:r>
      <w:proofErr w:type="spellEnd"/>
      <w:r w:rsidRPr="00DE2F00">
        <w:rPr>
          <w:rFonts w:ascii="Times New Roman" w:hAnsi="Times New Roman" w:cs="Times New Roman"/>
          <w:sz w:val="24"/>
          <w:szCs w:val="24"/>
          <w:lang w:val="bg-BG"/>
        </w:rPr>
        <w:t>” № 1, същите домакинства имат и индивидуални партиди за електричество. Решен е проблем с електроснабдяване в махала „</w:t>
      </w:r>
      <w:proofErr w:type="spellStart"/>
      <w:r w:rsidRPr="00DE2F00">
        <w:rPr>
          <w:rFonts w:ascii="Times New Roman" w:hAnsi="Times New Roman" w:cs="Times New Roman"/>
          <w:sz w:val="24"/>
          <w:szCs w:val="24"/>
          <w:lang w:val="bg-BG"/>
        </w:rPr>
        <w:t>Белишки</w:t>
      </w:r>
      <w:proofErr w:type="spellEnd"/>
      <w:r w:rsidRPr="00DE2F00">
        <w:rPr>
          <w:rFonts w:ascii="Times New Roman" w:hAnsi="Times New Roman" w:cs="Times New Roman"/>
          <w:sz w:val="24"/>
          <w:szCs w:val="24"/>
          <w:lang w:val="bg-BG"/>
        </w:rPr>
        <w:t xml:space="preserve"> Орешак“.</w:t>
      </w:r>
    </w:p>
    <w:p w:rsid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ab/>
        <w:t>Настанени са 3 броя ромски семейства в общински жилища намиращи се извън кварталите с преобладаващо ромско население.</w:t>
      </w:r>
    </w:p>
    <w:p w:rsidR="00DE2F00" w:rsidRDefault="00DE2F00" w:rsidP="00DE2F00">
      <w:pPr>
        <w:pStyle w:val="ListParagraph"/>
        <w:ind w:left="0"/>
        <w:jc w:val="both"/>
        <w:rPr>
          <w:rFonts w:ascii="Times New Roman" w:hAnsi="Times New Roman" w:cs="Times New Roman"/>
          <w:sz w:val="24"/>
          <w:szCs w:val="24"/>
          <w:lang w:val="bg-BG"/>
        </w:rPr>
      </w:pPr>
    </w:p>
    <w:p w:rsidR="00DE2F00" w:rsidRDefault="00DE2F00" w:rsidP="00DE2F00">
      <w:pPr>
        <w:pStyle w:val="ListParagraph"/>
        <w:ind w:left="0"/>
        <w:jc w:val="both"/>
        <w:rPr>
          <w:rFonts w:ascii="Times New Roman" w:hAnsi="Times New Roman" w:cs="Times New Roman"/>
          <w:sz w:val="28"/>
          <w:szCs w:val="28"/>
          <w:lang w:val="bg-BG"/>
        </w:rPr>
      </w:pPr>
      <w:r w:rsidRPr="00DE2F00">
        <w:rPr>
          <w:rFonts w:ascii="Times New Roman" w:hAnsi="Times New Roman" w:cs="Times New Roman"/>
          <w:sz w:val="28"/>
          <w:szCs w:val="28"/>
          <w:lang w:val="bg-BG"/>
        </w:rPr>
        <w:t>Община Угърчин</w:t>
      </w:r>
    </w:p>
    <w:p w:rsidR="00DE2F00" w:rsidRDefault="00DE2F00" w:rsidP="00DE2F00">
      <w:pPr>
        <w:pStyle w:val="ListParagraph"/>
        <w:ind w:left="0"/>
        <w:jc w:val="both"/>
        <w:rPr>
          <w:rFonts w:ascii="Times New Roman" w:hAnsi="Times New Roman" w:cs="Times New Roman"/>
          <w:sz w:val="28"/>
          <w:szCs w:val="28"/>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Според данни от последното преброяване на населението и жилищния фонд в Република България 2011г. като роми са идентифицирани 234 български граждани от Община Угърчин, но реално техния брой е значително по-голям.</w:t>
      </w: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p>
    <w:tbl>
      <w:tblPr>
        <w:tblStyle w:val="TableGrid"/>
        <w:tblW w:w="9606" w:type="dxa"/>
        <w:tblLayout w:type="fixed"/>
        <w:tblLook w:val="04A0" w:firstRow="1" w:lastRow="0" w:firstColumn="1" w:lastColumn="0" w:noHBand="0" w:noVBand="1"/>
      </w:tblPr>
      <w:tblGrid>
        <w:gridCol w:w="1384"/>
        <w:gridCol w:w="1985"/>
        <w:gridCol w:w="1417"/>
        <w:gridCol w:w="1276"/>
        <w:gridCol w:w="1134"/>
        <w:gridCol w:w="1134"/>
        <w:gridCol w:w="1276"/>
      </w:tblGrid>
      <w:tr w:rsidR="00DE2F00" w:rsidRPr="00DE2F00" w:rsidTr="001D139A">
        <w:tc>
          <w:tcPr>
            <w:tcW w:w="1384" w:type="dxa"/>
            <w:vMerge w:val="restart"/>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r w:rsidRPr="00DE2F00">
              <w:rPr>
                <w:rFonts w:ascii="Times New Roman" w:hAnsi="Times New Roman" w:cs="Times New Roman"/>
                <w:b/>
                <w:bCs/>
                <w:sz w:val="24"/>
                <w:szCs w:val="24"/>
                <w:lang w:val="bg-BG"/>
              </w:rPr>
              <w:t>За община</w:t>
            </w:r>
          </w:p>
        </w:tc>
        <w:tc>
          <w:tcPr>
            <w:tcW w:w="1985" w:type="dxa"/>
            <w:vMerge w:val="restart"/>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r w:rsidRPr="00DE2F00">
              <w:rPr>
                <w:rFonts w:ascii="Times New Roman" w:hAnsi="Times New Roman" w:cs="Times New Roman"/>
                <w:b/>
                <w:bCs/>
                <w:sz w:val="24"/>
                <w:szCs w:val="24"/>
                <w:lang w:val="bg-BG"/>
              </w:rPr>
              <w:t>Лица, отговорили на доброволния въпрос за етническа принадлежност</w:t>
            </w:r>
          </w:p>
        </w:tc>
        <w:tc>
          <w:tcPr>
            <w:tcW w:w="6237" w:type="dxa"/>
            <w:gridSpan w:val="5"/>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r w:rsidRPr="00DE2F00">
              <w:rPr>
                <w:rFonts w:ascii="Times New Roman" w:hAnsi="Times New Roman" w:cs="Times New Roman"/>
                <w:b/>
                <w:sz w:val="24"/>
                <w:szCs w:val="24"/>
                <w:lang w:val="bg-BG"/>
              </w:rPr>
              <w:t>Етническа група</w:t>
            </w:r>
          </w:p>
        </w:tc>
      </w:tr>
      <w:tr w:rsidR="00DE2F00" w:rsidRPr="00DE2F00" w:rsidTr="001D139A">
        <w:tc>
          <w:tcPr>
            <w:tcW w:w="1384" w:type="dxa"/>
            <w:vMerge/>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p>
        </w:tc>
        <w:tc>
          <w:tcPr>
            <w:tcW w:w="1985" w:type="dxa"/>
            <w:vMerge/>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p>
        </w:tc>
        <w:tc>
          <w:tcPr>
            <w:tcW w:w="1417" w:type="dxa"/>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r w:rsidRPr="00DE2F00">
              <w:rPr>
                <w:rFonts w:ascii="Times New Roman" w:hAnsi="Times New Roman" w:cs="Times New Roman"/>
                <w:b/>
                <w:bCs/>
                <w:sz w:val="24"/>
                <w:szCs w:val="24"/>
                <w:lang w:val="bg-BG"/>
              </w:rPr>
              <w:t>българска</w:t>
            </w:r>
          </w:p>
        </w:tc>
        <w:tc>
          <w:tcPr>
            <w:tcW w:w="1276" w:type="dxa"/>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r w:rsidRPr="00DE2F00">
              <w:rPr>
                <w:rFonts w:ascii="Times New Roman" w:hAnsi="Times New Roman" w:cs="Times New Roman"/>
                <w:b/>
                <w:bCs/>
                <w:sz w:val="24"/>
                <w:szCs w:val="24"/>
                <w:lang w:val="bg-BG"/>
              </w:rPr>
              <w:t>турска</w:t>
            </w:r>
          </w:p>
        </w:tc>
        <w:tc>
          <w:tcPr>
            <w:tcW w:w="1134" w:type="dxa"/>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r w:rsidRPr="00DE2F00">
              <w:rPr>
                <w:rFonts w:ascii="Times New Roman" w:hAnsi="Times New Roman" w:cs="Times New Roman"/>
                <w:b/>
                <w:bCs/>
                <w:sz w:val="24"/>
                <w:szCs w:val="24"/>
                <w:lang w:val="bg-BG"/>
              </w:rPr>
              <w:t>ромска</w:t>
            </w:r>
          </w:p>
        </w:tc>
        <w:tc>
          <w:tcPr>
            <w:tcW w:w="1134" w:type="dxa"/>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r w:rsidRPr="00DE2F00">
              <w:rPr>
                <w:rFonts w:ascii="Times New Roman" w:hAnsi="Times New Roman" w:cs="Times New Roman"/>
                <w:b/>
                <w:bCs/>
                <w:sz w:val="24"/>
                <w:szCs w:val="24"/>
                <w:lang w:val="bg-BG"/>
              </w:rPr>
              <w:t>друга</w:t>
            </w:r>
          </w:p>
        </w:tc>
        <w:tc>
          <w:tcPr>
            <w:tcW w:w="1276" w:type="dxa"/>
          </w:tcPr>
          <w:p w:rsidR="00DE2F00" w:rsidRPr="00DE2F00" w:rsidRDefault="00DE2F00" w:rsidP="00DE2F00">
            <w:pPr>
              <w:pStyle w:val="ListParagraph"/>
              <w:spacing w:after="200" w:line="276" w:lineRule="auto"/>
              <w:ind w:left="0"/>
              <w:jc w:val="both"/>
              <w:rPr>
                <w:rFonts w:ascii="Times New Roman" w:hAnsi="Times New Roman" w:cs="Times New Roman"/>
                <w:b/>
                <w:sz w:val="24"/>
                <w:szCs w:val="24"/>
                <w:lang w:val="bg-BG"/>
              </w:rPr>
            </w:pPr>
            <w:r w:rsidRPr="00DE2F00">
              <w:rPr>
                <w:rFonts w:ascii="Times New Roman" w:hAnsi="Times New Roman" w:cs="Times New Roman"/>
                <w:b/>
                <w:bCs/>
                <w:sz w:val="24"/>
                <w:szCs w:val="24"/>
                <w:lang w:val="bg-BG"/>
              </w:rPr>
              <w:t>не се самоопределят</w:t>
            </w:r>
          </w:p>
        </w:tc>
      </w:tr>
      <w:tr w:rsidR="00DE2F00" w:rsidRPr="00DE2F00" w:rsidTr="001D139A">
        <w:tc>
          <w:tcPr>
            <w:tcW w:w="1384"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УГЪРЧИН</w:t>
            </w:r>
          </w:p>
        </w:tc>
        <w:tc>
          <w:tcPr>
            <w:tcW w:w="1985"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bCs/>
                <w:sz w:val="24"/>
                <w:szCs w:val="24"/>
                <w:lang w:val="bg-BG"/>
              </w:rPr>
              <w:t>5690</w:t>
            </w:r>
          </w:p>
        </w:tc>
        <w:tc>
          <w:tcPr>
            <w:tcW w:w="1417"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bCs/>
                <w:sz w:val="24"/>
                <w:szCs w:val="24"/>
                <w:lang w:val="bg-BG"/>
              </w:rPr>
              <w:t>5291</w:t>
            </w:r>
          </w:p>
        </w:tc>
        <w:tc>
          <w:tcPr>
            <w:tcW w:w="127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bCs/>
                <w:sz w:val="24"/>
                <w:szCs w:val="24"/>
                <w:lang w:val="bg-BG"/>
              </w:rPr>
              <w:t>107</w:t>
            </w:r>
          </w:p>
        </w:tc>
        <w:tc>
          <w:tcPr>
            <w:tcW w:w="1134"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bCs/>
                <w:sz w:val="24"/>
                <w:szCs w:val="24"/>
                <w:lang w:val="bg-BG"/>
              </w:rPr>
              <w:t>234</w:t>
            </w:r>
          </w:p>
        </w:tc>
        <w:tc>
          <w:tcPr>
            <w:tcW w:w="1134"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15</w:t>
            </w:r>
          </w:p>
        </w:tc>
        <w:tc>
          <w:tcPr>
            <w:tcW w:w="127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43</w:t>
            </w:r>
          </w:p>
        </w:tc>
      </w:tr>
    </w:tbl>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Българските граждани от ромски произход на територията на общината са разпределени в почти всички населени места в общината, като единствено концентрация се наблюдава в обособена махала в село Кирчево. В останалите населени места от общината те са заселени в кварталите съвместно с другите етнически групи.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Според статистическите данни ромското население се разпределя по възраст, както следва:</w:t>
      </w: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p>
    <w:tbl>
      <w:tblPr>
        <w:tblStyle w:val="TableGrid"/>
        <w:tblW w:w="0" w:type="auto"/>
        <w:tblLook w:val="04A0" w:firstRow="1" w:lastRow="0" w:firstColumn="1" w:lastColumn="0" w:noHBand="0" w:noVBand="1"/>
      </w:tblPr>
      <w:tblGrid>
        <w:gridCol w:w="1282"/>
        <w:gridCol w:w="921"/>
        <w:gridCol w:w="921"/>
        <w:gridCol w:w="921"/>
        <w:gridCol w:w="921"/>
        <w:gridCol w:w="921"/>
        <w:gridCol w:w="921"/>
        <w:gridCol w:w="921"/>
        <w:gridCol w:w="922"/>
        <w:gridCol w:w="922"/>
      </w:tblGrid>
      <w:tr w:rsidR="00DE2F00" w:rsidRPr="00DE2F00" w:rsidTr="001D139A">
        <w:tc>
          <w:tcPr>
            <w:tcW w:w="921" w:type="dxa"/>
            <w:vMerge w:val="restart"/>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Етническа група</w:t>
            </w:r>
          </w:p>
        </w:tc>
        <w:tc>
          <w:tcPr>
            <w:tcW w:w="921" w:type="dxa"/>
            <w:vMerge w:val="restart"/>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Общо</w:t>
            </w:r>
          </w:p>
        </w:tc>
        <w:tc>
          <w:tcPr>
            <w:tcW w:w="7370" w:type="dxa"/>
            <w:gridSpan w:val="8"/>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Възраст /в навършени години/</w:t>
            </w:r>
          </w:p>
        </w:tc>
      </w:tr>
      <w:tr w:rsidR="00DE2F00" w:rsidRPr="00DE2F00" w:rsidTr="001D139A">
        <w:tc>
          <w:tcPr>
            <w:tcW w:w="921" w:type="dxa"/>
            <w:vMerge/>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p>
        </w:tc>
        <w:tc>
          <w:tcPr>
            <w:tcW w:w="921" w:type="dxa"/>
            <w:vMerge/>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0-9</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10-19</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20-29</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30-39</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40-49</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50-59</w:t>
            </w:r>
          </w:p>
        </w:tc>
        <w:tc>
          <w:tcPr>
            <w:tcW w:w="922"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60-69</w:t>
            </w:r>
          </w:p>
        </w:tc>
        <w:tc>
          <w:tcPr>
            <w:tcW w:w="922"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70+</w:t>
            </w:r>
          </w:p>
        </w:tc>
      </w:tr>
      <w:tr w:rsidR="00DE2F00" w:rsidRPr="00DE2F00" w:rsidTr="001D139A">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ромска</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234</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45</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56</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42</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35</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21</w:t>
            </w:r>
          </w:p>
        </w:tc>
        <w:tc>
          <w:tcPr>
            <w:tcW w:w="921"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20</w:t>
            </w:r>
          </w:p>
        </w:tc>
        <w:tc>
          <w:tcPr>
            <w:tcW w:w="922"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9</w:t>
            </w:r>
          </w:p>
        </w:tc>
        <w:tc>
          <w:tcPr>
            <w:tcW w:w="922"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6</w:t>
            </w:r>
          </w:p>
        </w:tc>
      </w:tr>
    </w:tbl>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По отношение на образование:</w:t>
      </w:r>
    </w:p>
    <w:p w:rsidR="00DE2F00" w:rsidRPr="00DE2F00" w:rsidRDefault="00DE2F00" w:rsidP="00DE2F00">
      <w:pPr>
        <w:pStyle w:val="ListParagraph"/>
        <w:ind w:left="0"/>
        <w:jc w:val="both"/>
        <w:rPr>
          <w:rFonts w:ascii="Times New Roman" w:hAnsi="Times New Roman" w:cs="Times New Roman"/>
          <w:sz w:val="24"/>
          <w:szCs w:val="24"/>
          <w:lang w:val="bg-BG"/>
        </w:rPr>
      </w:pPr>
    </w:p>
    <w:tbl>
      <w:tblPr>
        <w:tblStyle w:val="TableGrid"/>
        <w:tblW w:w="0" w:type="auto"/>
        <w:tblLook w:val="04A0" w:firstRow="1" w:lastRow="0" w:firstColumn="1" w:lastColumn="0" w:noHBand="0" w:noVBand="1"/>
      </w:tblPr>
      <w:tblGrid>
        <w:gridCol w:w="1316"/>
        <w:gridCol w:w="1316"/>
        <w:gridCol w:w="1316"/>
        <w:gridCol w:w="1316"/>
        <w:gridCol w:w="1316"/>
        <w:gridCol w:w="1550"/>
        <w:gridCol w:w="1437"/>
      </w:tblGrid>
      <w:tr w:rsidR="00DE2F00" w:rsidRPr="00DE2F00" w:rsidTr="001D139A">
        <w:tc>
          <w:tcPr>
            <w:tcW w:w="1316" w:type="dxa"/>
            <w:vMerge w:val="restart"/>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Етническа група</w:t>
            </w:r>
          </w:p>
        </w:tc>
        <w:tc>
          <w:tcPr>
            <w:tcW w:w="6580" w:type="dxa"/>
            <w:gridSpan w:val="5"/>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Степен на образование</w:t>
            </w:r>
          </w:p>
        </w:tc>
        <w:tc>
          <w:tcPr>
            <w:tcW w:w="1316" w:type="dxa"/>
            <w:vMerge w:val="restart"/>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Никога не посещавали училище</w:t>
            </w:r>
          </w:p>
        </w:tc>
      </w:tr>
      <w:tr w:rsidR="00DE2F00" w:rsidRPr="00DE2F00" w:rsidTr="001D139A">
        <w:tc>
          <w:tcPr>
            <w:tcW w:w="1316" w:type="dxa"/>
            <w:vMerge/>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висше</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средно</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основно</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начално</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незавършено начално</w:t>
            </w:r>
          </w:p>
        </w:tc>
        <w:tc>
          <w:tcPr>
            <w:tcW w:w="1316" w:type="dxa"/>
            <w:vMerge/>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p>
        </w:tc>
      </w:tr>
      <w:tr w:rsidR="00DE2F00" w:rsidRPr="00DE2F00" w:rsidTr="001D139A">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ромска</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0</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4</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48</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49</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58</w:t>
            </w:r>
          </w:p>
        </w:tc>
        <w:tc>
          <w:tcPr>
            <w:tcW w:w="1316" w:type="dxa"/>
          </w:tcPr>
          <w:p w:rsidR="00DE2F00" w:rsidRPr="00DE2F00" w:rsidRDefault="00DE2F00" w:rsidP="00DE2F00">
            <w:pPr>
              <w:pStyle w:val="ListParagraph"/>
              <w:spacing w:after="200" w:line="276" w:lineRule="auto"/>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38</w:t>
            </w:r>
          </w:p>
        </w:tc>
      </w:tr>
    </w:tbl>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През 2017 г. са изпълнени конкретни мерки и дейности по приоритетите на плана за действие за интегриране на ромите и са набелязани конкретни цели за изпълнение.</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На територията на община Угърчин има три общински училища : едно СУ „ Св. Св. Кирил и Методий „ гр. Угърчин - средищно училище  ,  и 2 /две/основни училища .  ОУ „Св. ” П. Хилендарски „  село Лесидрен  и ОУ „ Христо Ботев „  село Кирчево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Детските градини са, както следва:</w:t>
      </w:r>
    </w:p>
    <w:p w:rsidR="00DE2F00" w:rsidRPr="00DE2F00" w:rsidRDefault="00DE2F00" w:rsidP="004C1FE0">
      <w:pPr>
        <w:pStyle w:val="ListParagraph"/>
        <w:numPr>
          <w:ilvl w:val="0"/>
          <w:numId w:val="11"/>
        </w:numPr>
        <w:ind w:left="0" w:firstLine="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ДГ „Светулка” – Угърчин  с филиал в с. Лесидрен и село Катунец</w:t>
      </w:r>
    </w:p>
    <w:p w:rsidR="00DE2F00" w:rsidRPr="00DE2F00" w:rsidRDefault="00DE2F00" w:rsidP="004C1FE0">
      <w:pPr>
        <w:pStyle w:val="ListParagraph"/>
        <w:numPr>
          <w:ilvl w:val="0"/>
          <w:numId w:val="11"/>
        </w:numPr>
        <w:ind w:left="0" w:firstLine="0"/>
        <w:jc w:val="both"/>
        <w:rPr>
          <w:rFonts w:ascii="Times New Roman" w:hAnsi="Times New Roman" w:cs="Times New Roman"/>
          <w:b/>
          <w:sz w:val="24"/>
          <w:szCs w:val="24"/>
          <w:lang w:val="bg-BG"/>
        </w:rPr>
      </w:pPr>
      <w:r w:rsidRPr="00DE2F00">
        <w:rPr>
          <w:rFonts w:ascii="Times New Roman" w:hAnsi="Times New Roman" w:cs="Times New Roman"/>
          <w:sz w:val="24"/>
          <w:szCs w:val="24"/>
          <w:lang w:val="bg-BG"/>
        </w:rPr>
        <w:t xml:space="preserve">ДГ –„ Щастливо детство „с. Кирчево .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Цели: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1. Обхващане и задържане на ромските деца и ученици в образователната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система, осигуряване на качествено образование в мултикултурна образователна среда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 Гарантиране правото на равен достъп до качествено образование, включително чрез</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интеграция на ромски деца и ученици в етнически смесени детски градини и училища.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 Обучение в дух на толерантност и недискриминация в детските градини и в училищата чрез съхраняване и развиване на културната идентичност на деца и ученици от ромски произход.</w:t>
      </w:r>
    </w:p>
    <w:p w:rsidR="00DE2F00" w:rsidRPr="00DE2F00" w:rsidRDefault="004700BC" w:rsidP="00DE2F00">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Реализирани проекти:</w:t>
      </w:r>
    </w:p>
    <w:p w:rsidR="00DE2F00" w:rsidRPr="00DE2F00" w:rsidRDefault="00DE2F00" w:rsidP="004C1FE0">
      <w:pPr>
        <w:pStyle w:val="ListParagraph"/>
        <w:numPr>
          <w:ilvl w:val="0"/>
          <w:numId w:val="12"/>
        </w:numPr>
        <w:ind w:left="0" w:firstLine="0"/>
        <w:jc w:val="both"/>
        <w:rPr>
          <w:rFonts w:ascii="Times New Roman" w:hAnsi="Times New Roman" w:cs="Times New Roman"/>
          <w:bCs/>
          <w:sz w:val="24"/>
          <w:szCs w:val="24"/>
          <w:lang w:val="bg-BG"/>
        </w:rPr>
      </w:pPr>
      <w:r w:rsidRPr="00DE2F00">
        <w:rPr>
          <w:rFonts w:ascii="Times New Roman" w:hAnsi="Times New Roman" w:cs="Times New Roman"/>
          <w:bCs/>
          <w:sz w:val="24"/>
          <w:szCs w:val="24"/>
          <w:lang w:val="bg-BG"/>
        </w:rPr>
        <w:t>Проект „Нов шанс за успех”, схема за директно предоставяне на безвъзмездна финансова помощ BG051PO001-4.3.01 0001 „Ограмотяване на възрастни” по Оперативна програма „Развитие на човешките ресурси“ 2007 – 2013 г.</w:t>
      </w:r>
    </w:p>
    <w:p w:rsidR="00DE2F00" w:rsidRPr="00DE2F00" w:rsidRDefault="00DE2F00" w:rsidP="004C1FE0">
      <w:pPr>
        <w:pStyle w:val="ListParagraph"/>
        <w:numPr>
          <w:ilvl w:val="0"/>
          <w:numId w:val="12"/>
        </w:numPr>
        <w:ind w:left="0" w:firstLine="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Проект BG051РО001-3.1.06 „Подобряване на качеството на образование в средищните училища чрез въвеждане на целодневната организация на учебния процес“ по Оперативна програма „Развитие на човешките ресурси“ 2007-2013 г.</w:t>
      </w:r>
    </w:p>
    <w:p w:rsidR="00DE2F00" w:rsidRPr="00DE2F00" w:rsidRDefault="00DE2F00" w:rsidP="004C1FE0">
      <w:pPr>
        <w:pStyle w:val="ListParagraph"/>
        <w:numPr>
          <w:ilvl w:val="0"/>
          <w:numId w:val="12"/>
        </w:numPr>
        <w:ind w:left="0" w:firstLine="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Национална програма  на МОН „С грижа за всеки ученик“,Модул 3-Осигуряване на допълнително обучение на ученици от 4 клас на началния етап на основното образование за повишаване нивото на постиженията им по общообразователната подготовка, проект </w:t>
      </w:r>
      <w:r w:rsidRPr="004700BC">
        <w:rPr>
          <w:rFonts w:ascii="Times New Roman" w:hAnsi="Times New Roman" w:cs="Times New Roman"/>
          <w:sz w:val="24"/>
          <w:szCs w:val="24"/>
          <w:lang w:val="bg-BG"/>
        </w:rPr>
        <w:t>„</w:t>
      </w:r>
      <w:r w:rsidRPr="004700BC">
        <w:rPr>
          <w:rFonts w:ascii="Times New Roman" w:hAnsi="Times New Roman" w:cs="Times New Roman"/>
          <w:bCs/>
          <w:sz w:val="24"/>
          <w:szCs w:val="24"/>
          <w:lang w:val="bg-BG"/>
        </w:rPr>
        <w:t>Всеки ученик ще бъде отличник</w:t>
      </w:r>
      <w:r w:rsidRPr="004700BC">
        <w:rPr>
          <w:rFonts w:ascii="Times New Roman" w:hAnsi="Times New Roman" w:cs="Times New Roman"/>
          <w:sz w:val="24"/>
          <w:szCs w:val="24"/>
          <w:lang w:val="bg-BG"/>
        </w:rPr>
        <w:t>”</w:t>
      </w:r>
      <w:r w:rsidRPr="00DE2F00">
        <w:rPr>
          <w:rFonts w:ascii="Times New Roman" w:hAnsi="Times New Roman" w:cs="Times New Roman"/>
          <w:sz w:val="24"/>
          <w:szCs w:val="24"/>
          <w:lang w:val="bg-BG"/>
        </w:rPr>
        <w:t xml:space="preserve"> към ЦМЕД „</w:t>
      </w:r>
      <w:proofErr w:type="spellStart"/>
      <w:r w:rsidRPr="00DE2F00">
        <w:rPr>
          <w:rFonts w:ascii="Times New Roman" w:hAnsi="Times New Roman" w:cs="Times New Roman"/>
          <w:sz w:val="24"/>
          <w:szCs w:val="24"/>
          <w:lang w:val="bg-BG"/>
        </w:rPr>
        <w:t>Амалипе</w:t>
      </w:r>
      <w:proofErr w:type="spellEnd"/>
      <w:r w:rsidRPr="00DE2F00">
        <w:rPr>
          <w:rFonts w:ascii="Times New Roman" w:hAnsi="Times New Roman" w:cs="Times New Roman"/>
          <w:sz w:val="24"/>
          <w:szCs w:val="24"/>
          <w:lang w:val="bg-BG"/>
        </w:rPr>
        <w:t>”</w:t>
      </w:r>
      <w:r w:rsidRPr="00DE2F00">
        <w:rPr>
          <w:rFonts w:ascii="Times New Roman" w:hAnsi="Times New Roman" w:cs="Times New Roman"/>
          <w:b/>
          <w:bCs/>
          <w:sz w:val="24"/>
          <w:szCs w:val="24"/>
          <w:lang w:val="bg-BG"/>
        </w:rPr>
        <w:t>.</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Системата на здравното обслужване на община Угърчин включва:</w:t>
      </w:r>
    </w:p>
    <w:p w:rsidR="00DE2F00" w:rsidRPr="00DE2F00" w:rsidRDefault="00DE2F00" w:rsidP="004C1FE0">
      <w:pPr>
        <w:pStyle w:val="ListParagraph"/>
        <w:numPr>
          <w:ilvl w:val="0"/>
          <w:numId w:val="11"/>
        </w:numPr>
        <w:ind w:left="0" w:firstLine="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Пет лекарски практики </w:t>
      </w:r>
    </w:p>
    <w:p w:rsidR="00DE2F00" w:rsidRPr="00DE2F00" w:rsidRDefault="00DE2F00" w:rsidP="004C1FE0">
      <w:pPr>
        <w:pStyle w:val="ListParagraph"/>
        <w:numPr>
          <w:ilvl w:val="0"/>
          <w:numId w:val="11"/>
        </w:numPr>
        <w:ind w:left="0" w:firstLine="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Филиал  на „ Център за спешна  медицинска помощ – Ловеч „ </w:t>
      </w:r>
    </w:p>
    <w:p w:rsidR="00DE2F00" w:rsidRPr="00DE2F00" w:rsidRDefault="00DE2F00" w:rsidP="004C1FE0">
      <w:pPr>
        <w:pStyle w:val="ListParagraph"/>
        <w:numPr>
          <w:ilvl w:val="0"/>
          <w:numId w:val="11"/>
        </w:numPr>
        <w:ind w:left="0" w:firstLine="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Медицински сестри в здравните кабинети на учебните и детски заведения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От направени анализи свързани с целевата група се установява , че преобладаващата част са здравно неосигурени лица.</w:t>
      </w:r>
      <w:r w:rsidR="004700BC">
        <w:rPr>
          <w:rFonts w:ascii="Times New Roman" w:hAnsi="Times New Roman" w:cs="Times New Roman"/>
          <w:sz w:val="24"/>
          <w:szCs w:val="24"/>
          <w:lang w:val="bg-BG"/>
        </w:rPr>
        <w:t xml:space="preserve"> </w:t>
      </w:r>
      <w:r w:rsidRPr="00DE2F00">
        <w:rPr>
          <w:rFonts w:ascii="Times New Roman" w:hAnsi="Times New Roman" w:cs="Times New Roman"/>
          <w:sz w:val="24"/>
          <w:szCs w:val="24"/>
          <w:lang w:val="bg-BG"/>
        </w:rPr>
        <w:t>Рисковите фактори създават условия и повишават вероятността от възникване на заболявания.</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Цели: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1.Осигуряване на равенство в достъпа до качествени здравни услуги и превантивни програми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 Превантивни грижи за майчино и детско здравеопазване.</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3. Осигуряване на равенство в достъпа до здравни услуги на лицата в неравностойно</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положение, принадлежащи към етнически малцинства.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   В населените места от общината не се наблюдава и няма български граждани от ромски произход и други в уязвимо социално-икономическо положение, които да обитават временни постройки, бараки или други от такъв тип. Те обитават основно </w:t>
      </w:r>
      <w:proofErr w:type="spellStart"/>
      <w:r w:rsidRPr="00DE2F00">
        <w:rPr>
          <w:rFonts w:ascii="Times New Roman" w:hAnsi="Times New Roman" w:cs="Times New Roman"/>
          <w:sz w:val="24"/>
          <w:szCs w:val="24"/>
          <w:lang w:val="bg-BG"/>
        </w:rPr>
        <w:t>полумасивни</w:t>
      </w:r>
      <w:proofErr w:type="spellEnd"/>
      <w:r w:rsidRPr="00DE2F00">
        <w:rPr>
          <w:rFonts w:ascii="Times New Roman" w:hAnsi="Times New Roman" w:cs="Times New Roman"/>
          <w:sz w:val="24"/>
          <w:szCs w:val="24"/>
          <w:lang w:val="bg-BG"/>
        </w:rPr>
        <w:t xml:space="preserve"> жилищни сгради старо строителство, които се ползват без да бъде извършвано прехвърляне на собствеността на недвижимите имоти от собствениците им. Жилищните условия и инфраструктурата на терените, които обитават, като цяло са </w:t>
      </w:r>
      <w:r w:rsidR="001E68B7">
        <w:rPr>
          <w:rFonts w:ascii="Times New Roman" w:hAnsi="Times New Roman" w:cs="Times New Roman"/>
          <w:sz w:val="24"/>
          <w:szCs w:val="24"/>
          <w:lang w:val="bg-BG"/>
        </w:rPr>
        <w:t>в относително добро състояние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Цели: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1.Подобряване на жилищните условия, включително и на прилежащата техническа инфраструктура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 Проектиране и изграждане на техническа инфраструктура - водоснабдяване,</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канализация, улична мрежа и благоустрояване, и др.</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3.Осигуряване на социални жилища.</w:t>
      </w:r>
    </w:p>
    <w:p w:rsidR="00DE2F00" w:rsidRP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По-голяма част от ромите са безработни, не търсят активно работа, нямат придобита квалификация, което затруднява и намирането и съответно наемането им на работа и включването им в обществения живот.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Безработицата и ниските доходи при тази общност обуславя рискова група социално слаби лица и семейства, подпомагани с месечни социални помощи по ЗСП и ППЗСП. Община Угърчин участва в изпълнението на проекти по ОП „ РЧР” С изпълнението на тези проекти и програми ,общината е осигурила заетост  за безработни лица включително и от ромски произход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Цели: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1.Подобряване на достъпа на ромите до пазара на труда и повишаване на дела на заетите сред тях</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 Насърчаване на заетостта чрез провеждане на обучение на безработни лица за ключови компетентности.</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3. Насърчаване на социалния и гражданския диалог в подкрепа на трудовата реализация</w:t>
      </w:r>
    </w:p>
    <w:p w:rsidR="00DE2F00" w:rsidRDefault="001E68B7" w:rsidP="00DE2F00">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на ромите.</w:t>
      </w:r>
    </w:p>
    <w:p w:rsidR="00DE2F00" w:rsidRPr="00DE2F00" w:rsidRDefault="001E68B7" w:rsidP="00DE2F00">
      <w:pPr>
        <w:pStyle w:val="ListParagraph"/>
        <w:ind w:left="0"/>
        <w:jc w:val="both"/>
        <w:rPr>
          <w:rFonts w:ascii="Times New Roman" w:hAnsi="Times New Roman" w:cs="Times New Roman"/>
          <w:b/>
          <w:sz w:val="24"/>
          <w:szCs w:val="24"/>
          <w:lang w:val="bg-BG"/>
        </w:rPr>
      </w:pPr>
      <w:r>
        <w:rPr>
          <w:rFonts w:ascii="Times New Roman" w:hAnsi="Times New Roman" w:cs="Times New Roman"/>
          <w:sz w:val="24"/>
          <w:szCs w:val="24"/>
          <w:lang w:val="bg-BG"/>
        </w:rPr>
        <w:t xml:space="preserve"> </w:t>
      </w:r>
      <w:r w:rsidR="00DE2F00" w:rsidRPr="00DE2F00">
        <w:rPr>
          <w:rFonts w:ascii="Times New Roman" w:hAnsi="Times New Roman" w:cs="Times New Roman"/>
          <w:sz w:val="24"/>
          <w:szCs w:val="24"/>
          <w:lang w:val="bg-BG"/>
        </w:rPr>
        <w:t>Създадени са  условия за участие в културния живот на общината на всички етнически групи. Оказва се съдействие при организацията на културни мероприятия свързани с бита, културата и традициите на отделни етноси.Ромите активно участват в дейностите на всички читалища на територията на общината.</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 xml:space="preserve">Цели: </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1.Създаване на условия за равен достъп на ромската общност до обществения културен живот и съхранение и развитие на ромската традиционна култура и творчество</w:t>
      </w:r>
    </w:p>
    <w:p w:rsidR="00DE2F00" w:rsidRP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2. Съхраняване и популяризиране на традиционната култура на ромите.</w:t>
      </w:r>
    </w:p>
    <w:p w:rsidR="00DE2F00" w:rsidRDefault="00DE2F00" w:rsidP="00DE2F00">
      <w:pPr>
        <w:pStyle w:val="ListParagraph"/>
        <w:ind w:left="0"/>
        <w:jc w:val="both"/>
        <w:rPr>
          <w:rFonts w:ascii="Times New Roman" w:hAnsi="Times New Roman" w:cs="Times New Roman"/>
          <w:sz w:val="24"/>
          <w:szCs w:val="24"/>
          <w:lang w:val="bg-BG"/>
        </w:rPr>
      </w:pPr>
      <w:r w:rsidRPr="00DE2F00">
        <w:rPr>
          <w:rFonts w:ascii="Times New Roman" w:hAnsi="Times New Roman" w:cs="Times New Roman"/>
          <w:sz w:val="24"/>
          <w:szCs w:val="24"/>
          <w:lang w:val="bg-BG"/>
        </w:rPr>
        <w:t>3. Стимулиране на ромската общност за активно участие в обществения културен живот.</w:t>
      </w:r>
    </w:p>
    <w:p w:rsidR="00DE2F00" w:rsidRDefault="00DE2F00" w:rsidP="00DE2F00">
      <w:pPr>
        <w:pStyle w:val="ListParagraph"/>
        <w:ind w:left="0"/>
        <w:jc w:val="both"/>
        <w:rPr>
          <w:rFonts w:ascii="Times New Roman" w:hAnsi="Times New Roman" w:cs="Times New Roman"/>
          <w:sz w:val="24"/>
          <w:szCs w:val="24"/>
          <w:lang w:val="bg-BG"/>
        </w:rPr>
      </w:pPr>
    </w:p>
    <w:p w:rsidR="00DE2F00" w:rsidRPr="00DE2F00" w:rsidRDefault="00DE2F00" w:rsidP="00DE2F00">
      <w:pPr>
        <w:pStyle w:val="ListParagraph"/>
        <w:ind w:left="0"/>
        <w:jc w:val="both"/>
        <w:rPr>
          <w:rFonts w:ascii="Times New Roman" w:hAnsi="Times New Roman" w:cs="Times New Roman"/>
          <w:sz w:val="28"/>
          <w:szCs w:val="28"/>
          <w:lang w:val="bg-BG"/>
        </w:rPr>
      </w:pPr>
      <w:r w:rsidRPr="00DE2F00">
        <w:rPr>
          <w:rFonts w:ascii="Times New Roman" w:hAnsi="Times New Roman" w:cs="Times New Roman"/>
          <w:sz w:val="28"/>
          <w:szCs w:val="28"/>
          <w:lang w:val="bg-BG"/>
        </w:rPr>
        <w:t>Община Ябланица</w:t>
      </w:r>
    </w:p>
    <w:p w:rsidR="00DE2F00" w:rsidRPr="00DE2F00" w:rsidRDefault="00DE2F00" w:rsidP="00DE2F00">
      <w:pPr>
        <w:pStyle w:val="ListParagraph"/>
        <w:ind w:left="0"/>
        <w:rPr>
          <w:rFonts w:ascii="Times New Roman" w:hAnsi="Times New Roman" w:cs="Times New Roman"/>
          <w:sz w:val="24"/>
          <w:szCs w:val="24"/>
          <w:lang w:val="bg-BG"/>
        </w:rPr>
      </w:pPr>
      <w:r w:rsidRPr="00DE2F00">
        <w:rPr>
          <w:rFonts w:ascii="Times New Roman" w:hAnsi="Times New Roman" w:cs="Times New Roman"/>
          <w:sz w:val="24"/>
          <w:szCs w:val="24"/>
          <w:lang w:val="bg-BG"/>
        </w:rPr>
        <w:t>За отчетния период община Ябланица не е представили никакви данни и няма план за интегриране на ромите, макар че този етнос е доста сериозна част от облика на общината.</w:t>
      </w:r>
    </w:p>
    <w:p w:rsidR="00DE2F00" w:rsidRPr="00DE2F00" w:rsidRDefault="00DE2F00" w:rsidP="00DE2F00">
      <w:pPr>
        <w:pStyle w:val="ListParagraph"/>
        <w:ind w:left="0"/>
        <w:jc w:val="both"/>
        <w:rPr>
          <w:rFonts w:ascii="Times New Roman" w:hAnsi="Times New Roman" w:cs="Times New Roman"/>
          <w:sz w:val="28"/>
          <w:szCs w:val="28"/>
          <w:lang w:val="bg-BG"/>
        </w:rPr>
      </w:pPr>
    </w:p>
    <w:p w:rsidR="00DE2F00" w:rsidRPr="00DE2F00" w:rsidRDefault="00DE2F00" w:rsidP="00DE2F00">
      <w:pPr>
        <w:pStyle w:val="ListParagraph"/>
        <w:rPr>
          <w:rFonts w:ascii="Times New Roman" w:hAnsi="Times New Roman" w:cs="Times New Roman"/>
          <w:sz w:val="28"/>
          <w:szCs w:val="28"/>
        </w:rPr>
      </w:pPr>
    </w:p>
    <w:p w:rsidR="00DE2F00" w:rsidRPr="00DE2F00" w:rsidRDefault="00DE2F00" w:rsidP="00DE2F00">
      <w:pPr>
        <w:pStyle w:val="ListParagraph"/>
        <w:rPr>
          <w:rFonts w:ascii="Times New Roman" w:hAnsi="Times New Roman" w:cs="Times New Roman"/>
          <w:sz w:val="28"/>
          <w:szCs w:val="28"/>
          <w:lang w:val="bg-BG"/>
        </w:rPr>
      </w:pPr>
    </w:p>
    <w:p w:rsidR="00DE2F00" w:rsidRPr="00DE2F00" w:rsidRDefault="00DE2F00" w:rsidP="00DE2F00">
      <w:pPr>
        <w:pStyle w:val="ListParagraph"/>
        <w:ind w:left="0"/>
        <w:jc w:val="both"/>
        <w:rPr>
          <w:rFonts w:ascii="Times New Roman" w:hAnsi="Times New Roman" w:cs="Times New Roman"/>
          <w:sz w:val="28"/>
          <w:szCs w:val="28"/>
          <w:lang w:val="bg-BG"/>
        </w:rPr>
      </w:pPr>
    </w:p>
    <w:p w:rsidR="00DE2F00" w:rsidRPr="00DE2F00" w:rsidRDefault="00DE2F00" w:rsidP="00DE2F00">
      <w:pPr>
        <w:pStyle w:val="ListParagraph"/>
        <w:jc w:val="both"/>
        <w:rPr>
          <w:rFonts w:ascii="Times New Roman" w:hAnsi="Times New Roman" w:cs="Times New Roman"/>
          <w:sz w:val="28"/>
          <w:szCs w:val="28"/>
          <w:lang w:val="bg-BG"/>
        </w:rPr>
      </w:pPr>
    </w:p>
    <w:p w:rsidR="00DE2F00" w:rsidRPr="00DE2F00" w:rsidRDefault="00DE2F00" w:rsidP="00DE2F00">
      <w:pPr>
        <w:pStyle w:val="ListParagraph"/>
        <w:spacing w:line="240" w:lineRule="auto"/>
        <w:ind w:left="0"/>
        <w:jc w:val="both"/>
        <w:rPr>
          <w:rFonts w:ascii="Times New Roman" w:hAnsi="Times New Roman" w:cs="Times New Roman"/>
          <w:sz w:val="28"/>
          <w:szCs w:val="28"/>
          <w:lang w:val="bg-BG"/>
        </w:rPr>
      </w:pPr>
    </w:p>
    <w:p w:rsidR="00886225" w:rsidRPr="00886225" w:rsidRDefault="00886225" w:rsidP="00DE2F00">
      <w:pPr>
        <w:pStyle w:val="ListParagraph"/>
        <w:spacing w:line="240" w:lineRule="auto"/>
        <w:ind w:left="0"/>
        <w:jc w:val="both"/>
        <w:rPr>
          <w:rFonts w:ascii="Times New Roman" w:hAnsi="Times New Roman" w:cs="Times New Roman"/>
          <w:sz w:val="24"/>
          <w:szCs w:val="24"/>
          <w:lang w:val="bg-BG"/>
        </w:rPr>
      </w:pPr>
    </w:p>
    <w:p w:rsidR="00886225" w:rsidRPr="00886225" w:rsidRDefault="00886225" w:rsidP="00886225">
      <w:pPr>
        <w:pStyle w:val="ListParagraph"/>
        <w:spacing w:line="240" w:lineRule="auto"/>
        <w:ind w:left="0"/>
        <w:jc w:val="both"/>
        <w:rPr>
          <w:rFonts w:ascii="Times New Roman" w:hAnsi="Times New Roman" w:cs="Times New Roman"/>
          <w:sz w:val="28"/>
          <w:szCs w:val="28"/>
          <w:lang w:val="bg-BG"/>
        </w:rPr>
      </w:pPr>
    </w:p>
    <w:p w:rsidR="008B2893" w:rsidRPr="008B2893" w:rsidRDefault="008B2893" w:rsidP="00A24CF3">
      <w:pPr>
        <w:pStyle w:val="ListParagraph"/>
        <w:spacing w:line="240" w:lineRule="auto"/>
        <w:ind w:left="0"/>
        <w:jc w:val="both"/>
        <w:rPr>
          <w:rFonts w:ascii="Times New Roman" w:hAnsi="Times New Roman" w:cs="Times New Roman"/>
          <w:sz w:val="24"/>
          <w:szCs w:val="24"/>
          <w:lang w:val="bg-BG"/>
        </w:rPr>
      </w:pPr>
      <w:bookmarkStart w:id="0" w:name="_GoBack"/>
      <w:bookmarkEnd w:id="0"/>
    </w:p>
    <w:p w:rsidR="006959F4" w:rsidRPr="006959F4" w:rsidRDefault="006959F4" w:rsidP="00987E6F">
      <w:pPr>
        <w:spacing w:line="240" w:lineRule="auto"/>
        <w:contextualSpacing/>
        <w:jc w:val="both"/>
        <w:rPr>
          <w:rFonts w:ascii="Times New Roman" w:hAnsi="Times New Roman" w:cs="Times New Roman"/>
          <w:sz w:val="24"/>
          <w:szCs w:val="24"/>
          <w:lang w:val="bg-BG"/>
        </w:rPr>
      </w:pPr>
    </w:p>
    <w:p w:rsidR="00D2555B" w:rsidRPr="00987E6F" w:rsidRDefault="00D2555B" w:rsidP="00D2555B">
      <w:pPr>
        <w:spacing w:line="240" w:lineRule="auto"/>
        <w:contextualSpacing/>
        <w:jc w:val="both"/>
        <w:rPr>
          <w:rFonts w:ascii="Times New Roman" w:hAnsi="Times New Roman" w:cs="Times New Roman"/>
          <w:sz w:val="24"/>
          <w:szCs w:val="24"/>
        </w:rPr>
      </w:pPr>
    </w:p>
    <w:p w:rsidR="00987E6F" w:rsidRPr="00987E6F" w:rsidRDefault="00987E6F" w:rsidP="00987E6F">
      <w:pPr>
        <w:spacing w:line="240" w:lineRule="auto"/>
        <w:contextualSpacing/>
        <w:jc w:val="both"/>
        <w:rPr>
          <w:rFonts w:ascii="Times New Roman" w:hAnsi="Times New Roman" w:cs="Times New Roman"/>
          <w:b/>
          <w:sz w:val="24"/>
          <w:szCs w:val="24"/>
          <w:lang w:val="bg-BG"/>
        </w:rPr>
      </w:pPr>
      <w:r w:rsidRPr="00987E6F">
        <w:rPr>
          <w:rFonts w:ascii="Times New Roman" w:hAnsi="Times New Roman" w:cs="Times New Roman"/>
          <w:b/>
          <w:sz w:val="24"/>
          <w:szCs w:val="24"/>
          <w:lang w:val="bg-BG"/>
        </w:rPr>
        <w:t xml:space="preserve">ЗАКЛЮЧЕНИЕ </w:t>
      </w:r>
    </w:p>
    <w:p w:rsidR="004C5181" w:rsidRPr="004C5181" w:rsidRDefault="004C5181" w:rsidP="004C5181">
      <w:pPr>
        <w:spacing w:line="240" w:lineRule="auto"/>
        <w:contextualSpacing/>
        <w:jc w:val="both"/>
        <w:rPr>
          <w:rFonts w:ascii="Times New Roman" w:hAnsi="Times New Roman" w:cs="Times New Roman"/>
          <w:sz w:val="24"/>
          <w:szCs w:val="24"/>
          <w:lang w:val="bg-BG"/>
        </w:rPr>
      </w:pPr>
      <w:proofErr w:type="spellStart"/>
      <w:r w:rsidRPr="004C5181">
        <w:rPr>
          <w:rFonts w:ascii="Times New Roman" w:hAnsi="Times New Roman" w:cs="Times New Roman"/>
          <w:sz w:val="24"/>
          <w:szCs w:val="24"/>
          <w:lang w:val="bg-BG"/>
        </w:rPr>
        <w:t>Изпълн</w:t>
      </w:r>
      <w:proofErr w:type="spellEnd"/>
      <w:r w:rsidRPr="004C5181">
        <w:rPr>
          <w:rFonts w:ascii="Times New Roman" w:hAnsi="Times New Roman" w:cs="Times New Roman"/>
          <w:sz w:val="24"/>
          <w:szCs w:val="24"/>
        </w:rPr>
        <w:t>e</w:t>
      </w:r>
      <w:proofErr w:type="spellStart"/>
      <w:r w:rsidRPr="004C5181">
        <w:rPr>
          <w:rFonts w:ascii="Times New Roman" w:hAnsi="Times New Roman" w:cs="Times New Roman"/>
          <w:sz w:val="24"/>
          <w:szCs w:val="24"/>
          <w:lang w:val="bg-BG"/>
        </w:rPr>
        <w:t>нието</w:t>
      </w:r>
      <w:proofErr w:type="spellEnd"/>
      <w:r w:rsidRPr="004C5181">
        <w:rPr>
          <w:rFonts w:ascii="Times New Roman" w:hAnsi="Times New Roman" w:cs="Times New Roman"/>
          <w:sz w:val="24"/>
          <w:szCs w:val="24"/>
          <w:lang w:val="bg-BG"/>
        </w:rPr>
        <w:t xml:space="preserve"> на заложените мерки в Националната стратегия на Република България за интегриране на ромите (2012-2020) се осъществяват на територията на област Ловеч чрез общинските планове за действие за интегриране на ромите, както и на Стратегията на област Ловеч за интегриране на ромите 2012-2020 г.</w:t>
      </w:r>
    </w:p>
    <w:p w:rsidR="004C5181" w:rsidRPr="004C5181" w:rsidRDefault="004C5181" w:rsidP="004C5181">
      <w:pPr>
        <w:spacing w:line="240" w:lineRule="auto"/>
        <w:contextualSpacing/>
        <w:jc w:val="both"/>
        <w:rPr>
          <w:rFonts w:ascii="Times New Roman" w:hAnsi="Times New Roman" w:cs="Times New Roman"/>
          <w:sz w:val="24"/>
          <w:szCs w:val="24"/>
          <w:lang w:val="bg-BG"/>
        </w:rPr>
      </w:pPr>
      <w:r w:rsidRPr="004C5181">
        <w:rPr>
          <w:rFonts w:ascii="Times New Roman" w:hAnsi="Times New Roman" w:cs="Times New Roman"/>
          <w:sz w:val="24"/>
          <w:szCs w:val="24"/>
          <w:lang w:val="bg-BG"/>
        </w:rPr>
        <w:t xml:space="preserve">На територията на областта има създадени </w:t>
      </w:r>
      <w:r w:rsidR="001E68B7">
        <w:rPr>
          <w:rFonts w:ascii="Times New Roman" w:hAnsi="Times New Roman" w:cs="Times New Roman"/>
          <w:sz w:val="24"/>
          <w:szCs w:val="24"/>
          <w:lang w:val="bg-BG"/>
        </w:rPr>
        <w:t>6</w:t>
      </w:r>
      <w:r w:rsidRPr="004C5181">
        <w:rPr>
          <w:rFonts w:ascii="Times New Roman" w:hAnsi="Times New Roman" w:cs="Times New Roman"/>
          <w:sz w:val="24"/>
          <w:szCs w:val="24"/>
          <w:lang w:val="bg-BG"/>
        </w:rPr>
        <w:t xml:space="preserve"> (</w:t>
      </w:r>
      <w:r w:rsidR="001E68B7">
        <w:rPr>
          <w:rFonts w:ascii="Times New Roman" w:hAnsi="Times New Roman" w:cs="Times New Roman"/>
          <w:sz w:val="24"/>
          <w:szCs w:val="24"/>
          <w:lang w:val="bg-BG"/>
        </w:rPr>
        <w:t>шест</w:t>
      </w:r>
      <w:r w:rsidRPr="004C5181">
        <w:rPr>
          <w:rFonts w:ascii="Times New Roman" w:hAnsi="Times New Roman" w:cs="Times New Roman"/>
          <w:sz w:val="24"/>
          <w:szCs w:val="24"/>
          <w:lang w:val="bg-BG"/>
        </w:rPr>
        <w:t xml:space="preserve">) общински планове за интегриране на ромите. Шест от общинските планове са актуализирани за периода 2015-2020 г. съгласно указанията на Националния съвет за сътрудничество по етническите и интеграционните въпроси към Министерския съвет (НССЕИВ). </w:t>
      </w:r>
    </w:p>
    <w:p w:rsidR="00836051" w:rsidRPr="00A339F4" w:rsidRDefault="00836051" w:rsidP="00836051">
      <w:pPr>
        <w:spacing w:line="240" w:lineRule="auto"/>
        <w:contextualSpacing/>
        <w:jc w:val="both"/>
        <w:rPr>
          <w:rFonts w:ascii="Times New Roman" w:hAnsi="Times New Roman" w:cs="Times New Roman"/>
          <w:sz w:val="24"/>
          <w:szCs w:val="24"/>
          <w:lang w:val="bg-BG"/>
        </w:rPr>
      </w:pPr>
      <w:r w:rsidRPr="00836051">
        <w:rPr>
          <w:rFonts w:ascii="Times New Roman" w:hAnsi="Times New Roman" w:cs="Times New Roman"/>
          <w:sz w:val="24"/>
          <w:szCs w:val="24"/>
          <w:lang w:val="bg-BG"/>
        </w:rPr>
        <w:t xml:space="preserve">Набелязаните проблеми и постигнатия напредък </w:t>
      </w:r>
      <w:r w:rsidR="00A339F4">
        <w:rPr>
          <w:rFonts w:ascii="Times New Roman" w:hAnsi="Times New Roman" w:cs="Times New Roman"/>
          <w:sz w:val="24"/>
          <w:szCs w:val="24"/>
          <w:lang w:val="bg-BG"/>
        </w:rPr>
        <w:t xml:space="preserve">вървят ръка за ръка, макар че на фона на обстановката в страната област Ловеч има своите традиционни трудности в демографските фактори – миграция, бедност, продължителност на живот, с помощта на институциите занимаващи се с проблемите на малцинствените групи се надяваме да бъдат направени големи крачки към успех. Първите стъпки са направени, но </w:t>
      </w:r>
      <w:proofErr w:type="spellStart"/>
      <w:r w:rsidR="00A339F4">
        <w:rPr>
          <w:rFonts w:ascii="Times New Roman" w:hAnsi="Times New Roman" w:cs="Times New Roman"/>
          <w:sz w:val="24"/>
          <w:szCs w:val="24"/>
          <w:lang w:val="ru-RU"/>
        </w:rPr>
        <w:t>и</w:t>
      </w:r>
      <w:r w:rsidRPr="00836051">
        <w:rPr>
          <w:rFonts w:ascii="Times New Roman" w:hAnsi="Times New Roman" w:cs="Times New Roman"/>
          <w:sz w:val="24"/>
          <w:szCs w:val="24"/>
          <w:lang w:val="ru-RU"/>
        </w:rPr>
        <w:t>нтеграцията</w:t>
      </w:r>
      <w:proofErr w:type="spellEnd"/>
      <w:r w:rsidRPr="00836051">
        <w:rPr>
          <w:rFonts w:ascii="Times New Roman" w:hAnsi="Times New Roman" w:cs="Times New Roman"/>
          <w:sz w:val="24"/>
          <w:szCs w:val="24"/>
          <w:lang w:val="ru-RU"/>
        </w:rPr>
        <w:t xml:space="preserve"> е комплексен </w:t>
      </w:r>
      <w:proofErr w:type="spellStart"/>
      <w:r w:rsidRPr="00836051">
        <w:rPr>
          <w:rFonts w:ascii="Times New Roman" w:hAnsi="Times New Roman" w:cs="Times New Roman"/>
          <w:sz w:val="24"/>
          <w:szCs w:val="24"/>
          <w:lang w:val="ru-RU"/>
        </w:rPr>
        <w:t>процес</w:t>
      </w:r>
      <w:proofErr w:type="spellEnd"/>
      <w:r w:rsidRPr="00836051">
        <w:rPr>
          <w:rFonts w:ascii="Times New Roman" w:hAnsi="Times New Roman" w:cs="Times New Roman"/>
          <w:sz w:val="24"/>
          <w:szCs w:val="24"/>
          <w:lang w:val="ru-RU"/>
        </w:rPr>
        <w:t xml:space="preserve">, </w:t>
      </w:r>
      <w:proofErr w:type="spellStart"/>
      <w:r w:rsidRPr="00836051">
        <w:rPr>
          <w:rFonts w:ascii="Times New Roman" w:hAnsi="Times New Roman" w:cs="Times New Roman"/>
          <w:sz w:val="24"/>
          <w:szCs w:val="24"/>
          <w:lang w:val="ru-RU"/>
        </w:rPr>
        <w:t>обхващащ</w:t>
      </w:r>
      <w:proofErr w:type="spellEnd"/>
      <w:r w:rsidRPr="00836051">
        <w:rPr>
          <w:rFonts w:ascii="Times New Roman" w:hAnsi="Times New Roman" w:cs="Times New Roman"/>
          <w:sz w:val="24"/>
          <w:szCs w:val="24"/>
          <w:lang w:val="ru-RU"/>
        </w:rPr>
        <w:t xml:space="preserve"> </w:t>
      </w:r>
      <w:proofErr w:type="spellStart"/>
      <w:r w:rsidRPr="00836051">
        <w:rPr>
          <w:rFonts w:ascii="Times New Roman" w:hAnsi="Times New Roman" w:cs="Times New Roman"/>
          <w:sz w:val="24"/>
          <w:szCs w:val="24"/>
          <w:lang w:val="ru-RU"/>
        </w:rPr>
        <w:t>всички</w:t>
      </w:r>
      <w:proofErr w:type="spellEnd"/>
      <w:r w:rsidRPr="00836051">
        <w:rPr>
          <w:rFonts w:ascii="Times New Roman" w:hAnsi="Times New Roman" w:cs="Times New Roman"/>
          <w:sz w:val="24"/>
          <w:szCs w:val="24"/>
          <w:lang w:val="ru-RU"/>
        </w:rPr>
        <w:t xml:space="preserve"> </w:t>
      </w:r>
      <w:proofErr w:type="spellStart"/>
      <w:r w:rsidRPr="00836051">
        <w:rPr>
          <w:rFonts w:ascii="Times New Roman" w:hAnsi="Times New Roman" w:cs="Times New Roman"/>
          <w:sz w:val="24"/>
          <w:szCs w:val="24"/>
          <w:lang w:val="ru-RU"/>
        </w:rPr>
        <w:t>сфери</w:t>
      </w:r>
      <w:proofErr w:type="spellEnd"/>
      <w:r w:rsidRPr="00836051">
        <w:rPr>
          <w:rFonts w:ascii="Times New Roman" w:hAnsi="Times New Roman" w:cs="Times New Roman"/>
          <w:sz w:val="24"/>
          <w:szCs w:val="24"/>
          <w:lang w:val="ru-RU"/>
        </w:rPr>
        <w:t xml:space="preserve"> на живота – </w:t>
      </w:r>
      <w:proofErr w:type="spellStart"/>
      <w:r w:rsidRPr="00836051">
        <w:rPr>
          <w:rFonts w:ascii="Times New Roman" w:hAnsi="Times New Roman" w:cs="Times New Roman"/>
          <w:sz w:val="24"/>
          <w:szCs w:val="24"/>
          <w:lang w:val="ru-RU"/>
        </w:rPr>
        <w:t>промяна</w:t>
      </w:r>
      <w:proofErr w:type="spellEnd"/>
      <w:r w:rsidRPr="00836051">
        <w:rPr>
          <w:rFonts w:ascii="Times New Roman" w:hAnsi="Times New Roman" w:cs="Times New Roman"/>
          <w:sz w:val="24"/>
          <w:szCs w:val="24"/>
          <w:lang w:val="ru-RU"/>
        </w:rPr>
        <w:t xml:space="preserve"> на </w:t>
      </w:r>
      <w:proofErr w:type="spellStart"/>
      <w:r w:rsidRPr="00836051">
        <w:rPr>
          <w:rFonts w:ascii="Times New Roman" w:hAnsi="Times New Roman" w:cs="Times New Roman"/>
          <w:sz w:val="24"/>
          <w:szCs w:val="24"/>
          <w:lang w:val="ru-RU"/>
        </w:rPr>
        <w:t>разбирането</w:t>
      </w:r>
      <w:proofErr w:type="spellEnd"/>
      <w:r w:rsidRPr="00836051">
        <w:rPr>
          <w:rFonts w:ascii="Times New Roman" w:hAnsi="Times New Roman" w:cs="Times New Roman"/>
          <w:sz w:val="24"/>
          <w:szCs w:val="24"/>
          <w:lang w:val="ru-RU"/>
        </w:rPr>
        <w:t xml:space="preserve"> сред </w:t>
      </w:r>
      <w:proofErr w:type="spellStart"/>
      <w:r w:rsidRPr="00836051">
        <w:rPr>
          <w:rFonts w:ascii="Times New Roman" w:hAnsi="Times New Roman" w:cs="Times New Roman"/>
          <w:sz w:val="24"/>
          <w:szCs w:val="24"/>
          <w:lang w:val="ru-RU"/>
        </w:rPr>
        <w:t>общността</w:t>
      </w:r>
      <w:proofErr w:type="spellEnd"/>
      <w:r w:rsidRPr="00836051">
        <w:rPr>
          <w:rFonts w:ascii="Times New Roman" w:hAnsi="Times New Roman" w:cs="Times New Roman"/>
          <w:sz w:val="24"/>
          <w:szCs w:val="24"/>
          <w:lang w:val="ru-RU"/>
        </w:rPr>
        <w:t xml:space="preserve"> за </w:t>
      </w:r>
      <w:proofErr w:type="spellStart"/>
      <w:r w:rsidRPr="00836051">
        <w:rPr>
          <w:rFonts w:ascii="Times New Roman" w:hAnsi="Times New Roman" w:cs="Times New Roman"/>
          <w:sz w:val="24"/>
          <w:szCs w:val="24"/>
          <w:lang w:val="ru-RU"/>
        </w:rPr>
        <w:t>важността</w:t>
      </w:r>
      <w:proofErr w:type="spellEnd"/>
      <w:r w:rsidRPr="00836051">
        <w:rPr>
          <w:rFonts w:ascii="Times New Roman" w:hAnsi="Times New Roman" w:cs="Times New Roman"/>
          <w:sz w:val="24"/>
          <w:szCs w:val="24"/>
          <w:lang w:val="ru-RU"/>
        </w:rPr>
        <w:t xml:space="preserve"> на </w:t>
      </w:r>
      <w:proofErr w:type="spellStart"/>
      <w:r w:rsidRPr="00836051">
        <w:rPr>
          <w:rFonts w:ascii="Times New Roman" w:hAnsi="Times New Roman" w:cs="Times New Roman"/>
          <w:sz w:val="24"/>
          <w:szCs w:val="24"/>
          <w:lang w:val="ru-RU"/>
        </w:rPr>
        <w:t>интеграцията</w:t>
      </w:r>
      <w:proofErr w:type="spellEnd"/>
      <w:r w:rsidRPr="00836051">
        <w:rPr>
          <w:rFonts w:ascii="Times New Roman" w:hAnsi="Times New Roman" w:cs="Times New Roman"/>
          <w:sz w:val="24"/>
          <w:szCs w:val="24"/>
          <w:lang w:val="ru-RU"/>
        </w:rPr>
        <w:t xml:space="preserve"> на </w:t>
      </w:r>
      <w:proofErr w:type="spellStart"/>
      <w:r w:rsidRPr="00836051">
        <w:rPr>
          <w:rFonts w:ascii="Times New Roman" w:hAnsi="Times New Roman" w:cs="Times New Roman"/>
          <w:sz w:val="24"/>
          <w:szCs w:val="24"/>
          <w:lang w:val="ru-RU"/>
        </w:rPr>
        <w:t>ромите</w:t>
      </w:r>
      <w:proofErr w:type="spellEnd"/>
      <w:r w:rsidRPr="00836051">
        <w:rPr>
          <w:rFonts w:ascii="Times New Roman" w:hAnsi="Times New Roman" w:cs="Times New Roman"/>
          <w:sz w:val="24"/>
          <w:szCs w:val="24"/>
          <w:lang w:val="ru-RU"/>
        </w:rPr>
        <w:t xml:space="preserve">, </w:t>
      </w:r>
      <w:proofErr w:type="spellStart"/>
      <w:r w:rsidRPr="00836051">
        <w:rPr>
          <w:rFonts w:ascii="Times New Roman" w:hAnsi="Times New Roman" w:cs="Times New Roman"/>
          <w:sz w:val="24"/>
          <w:szCs w:val="24"/>
          <w:lang w:val="ru-RU"/>
        </w:rPr>
        <w:t>като</w:t>
      </w:r>
      <w:proofErr w:type="spellEnd"/>
      <w:r w:rsidRPr="00836051">
        <w:rPr>
          <w:rFonts w:ascii="Times New Roman" w:hAnsi="Times New Roman" w:cs="Times New Roman"/>
          <w:sz w:val="24"/>
          <w:szCs w:val="24"/>
          <w:lang w:val="ru-RU"/>
        </w:rPr>
        <w:t xml:space="preserve"> основа за демократично развитие на </w:t>
      </w:r>
      <w:proofErr w:type="spellStart"/>
      <w:r w:rsidRPr="00836051">
        <w:rPr>
          <w:rFonts w:ascii="Times New Roman" w:hAnsi="Times New Roman" w:cs="Times New Roman"/>
          <w:sz w:val="24"/>
          <w:szCs w:val="24"/>
          <w:lang w:val="ru-RU"/>
        </w:rPr>
        <w:t>общината</w:t>
      </w:r>
      <w:proofErr w:type="spellEnd"/>
      <w:r w:rsidRPr="00836051">
        <w:rPr>
          <w:rFonts w:ascii="Times New Roman" w:hAnsi="Times New Roman" w:cs="Times New Roman"/>
          <w:sz w:val="24"/>
          <w:szCs w:val="24"/>
          <w:lang w:val="ru-RU"/>
        </w:rPr>
        <w:t xml:space="preserve">, </w:t>
      </w:r>
      <w:proofErr w:type="spellStart"/>
      <w:r w:rsidRPr="00836051">
        <w:rPr>
          <w:rFonts w:ascii="Times New Roman" w:hAnsi="Times New Roman" w:cs="Times New Roman"/>
          <w:sz w:val="24"/>
          <w:szCs w:val="24"/>
          <w:lang w:val="ru-RU"/>
        </w:rPr>
        <w:t>засилване</w:t>
      </w:r>
      <w:proofErr w:type="spellEnd"/>
      <w:r w:rsidRPr="00836051">
        <w:rPr>
          <w:rFonts w:ascii="Times New Roman" w:hAnsi="Times New Roman" w:cs="Times New Roman"/>
          <w:sz w:val="24"/>
          <w:szCs w:val="24"/>
          <w:lang w:val="ru-RU"/>
        </w:rPr>
        <w:t xml:space="preserve"> на </w:t>
      </w:r>
      <w:proofErr w:type="spellStart"/>
      <w:r w:rsidRPr="00836051">
        <w:rPr>
          <w:rFonts w:ascii="Times New Roman" w:hAnsi="Times New Roman" w:cs="Times New Roman"/>
          <w:sz w:val="24"/>
          <w:szCs w:val="24"/>
          <w:lang w:val="ru-RU"/>
        </w:rPr>
        <w:t>ролята</w:t>
      </w:r>
      <w:proofErr w:type="spellEnd"/>
      <w:r w:rsidRPr="00836051">
        <w:rPr>
          <w:rFonts w:ascii="Times New Roman" w:hAnsi="Times New Roman" w:cs="Times New Roman"/>
          <w:sz w:val="24"/>
          <w:szCs w:val="24"/>
          <w:lang w:val="ru-RU"/>
        </w:rPr>
        <w:t xml:space="preserve"> на </w:t>
      </w:r>
      <w:proofErr w:type="spellStart"/>
      <w:r w:rsidRPr="00836051">
        <w:rPr>
          <w:rFonts w:ascii="Times New Roman" w:hAnsi="Times New Roman" w:cs="Times New Roman"/>
          <w:sz w:val="24"/>
          <w:szCs w:val="24"/>
          <w:lang w:val="ru-RU"/>
        </w:rPr>
        <w:t>местните</w:t>
      </w:r>
      <w:proofErr w:type="spellEnd"/>
      <w:r w:rsidRPr="00836051">
        <w:rPr>
          <w:rFonts w:ascii="Times New Roman" w:hAnsi="Times New Roman" w:cs="Times New Roman"/>
          <w:sz w:val="24"/>
          <w:szCs w:val="24"/>
          <w:lang w:val="ru-RU"/>
        </w:rPr>
        <w:t xml:space="preserve"> институции и </w:t>
      </w:r>
      <w:proofErr w:type="spellStart"/>
      <w:r w:rsidRPr="00836051">
        <w:rPr>
          <w:rFonts w:ascii="Times New Roman" w:hAnsi="Times New Roman" w:cs="Times New Roman"/>
          <w:sz w:val="24"/>
          <w:szCs w:val="24"/>
          <w:lang w:val="ru-RU"/>
        </w:rPr>
        <w:t>гражданското</w:t>
      </w:r>
      <w:proofErr w:type="spellEnd"/>
      <w:r w:rsidRPr="00836051">
        <w:rPr>
          <w:rFonts w:ascii="Times New Roman" w:hAnsi="Times New Roman" w:cs="Times New Roman"/>
          <w:sz w:val="24"/>
          <w:szCs w:val="24"/>
          <w:lang w:val="ru-RU"/>
        </w:rPr>
        <w:t xml:space="preserve"> участие. </w:t>
      </w:r>
    </w:p>
    <w:p w:rsidR="00836051" w:rsidRPr="00836051" w:rsidRDefault="00836051" w:rsidP="00836051">
      <w:pPr>
        <w:spacing w:line="240" w:lineRule="auto"/>
        <w:contextualSpacing/>
        <w:jc w:val="both"/>
        <w:rPr>
          <w:rFonts w:ascii="Times New Roman" w:hAnsi="Times New Roman" w:cs="Times New Roman"/>
          <w:sz w:val="24"/>
          <w:szCs w:val="24"/>
          <w:lang w:val="bs-Latn-BA"/>
        </w:rPr>
      </w:pPr>
      <w:r w:rsidRPr="00836051">
        <w:rPr>
          <w:rFonts w:ascii="Times New Roman" w:hAnsi="Times New Roman" w:cs="Times New Roman"/>
          <w:sz w:val="24"/>
          <w:szCs w:val="24"/>
          <w:lang w:val="bg-BG"/>
        </w:rPr>
        <w:t>Постигнатото до тук е необходимо да се надгради и да се търси участие  в проекти финансирани от ЕС или неправителствени организации, ангажирани с ромската проблематика.</w:t>
      </w:r>
    </w:p>
    <w:p w:rsidR="00D2555B" w:rsidRPr="000169D2" w:rsidRDefault="00D2555B" w:rsidP="003143F8">
      <w:pPr>
        <w:spacing w:line="240" w:lineRule="auto"/>
        <w:contextualSpacing/>
        <w:jc w:val="both"/>
        <w:rPr>
          <w:rFonts w:ascii="Times New Roman" w:hAnsi="Times New Roman" w:cs="Times New Roman"/>
          <w:b/>
          <w:sz w:val="24"/>
          <w:szCs w:val="24"/>
          <w:lang w:val="bg-BG"/>
        </w:rPr>
      </w:pPr>
    </w:p>
    <w:sectPr w:rsidR="00D2555B" w:rsidRPr="000169D2" w:rsidSect="00DA4C38">
      <w:footerReference w:type="default" r:id="rId9"/>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E0" w:rsidRDefault="004C1FE0" w:rsidP="00C00871">
      <w:pPr>
        <w:spacing w:after="0" w:line="240" w:lineRule="auto"/>
      </w:pPr>
      <w:r>
        <w:separator/>
      </w:r>
    </w:p>
  </w:endnote>
  <w:endnote w:type="continuationSeparator" w:id="0">
    <w:p w:rsidR="004C1FE0" w:rsidRDefault="004C1FE0" w:rsidP="00C0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233332"/>
      <w:docPartObj>
        <w:docPartGallery w:val="Page Numbers (Bottom of Page)"/>
        <w:docPartUnique/>
      </w:docPartObj>
    </w:sdtPr>
    <w:sdtEndPr>
      <w:rPr>
        <w:noProof/>
      </w:rPr>
    </w:sdtEndPr>
    <w:sdtContent>
      <w:p w:rsidR="00E03162" w:rsidRDefault="00E03162">
        <w:pPr>
          <w:pStyle w:val="Footer"/>
          <w:jc w:val="right"/>
        </w:pPr>
        <w:r>
          <w:fldChar w:fldCharType="begin"/>
        </w:r>
        <w:r>
          <w:instrText xml:space="preserve"> PAGE   \* MERGEFORMAT </w:instrText>
        </w:r>
        <w:r>
          <w:fldChar w:fldCharType="separate"/>
        </w:r>
        <w:r w:rsidR="004700BC">
          <w:rPr>
            <w:noProof/>
          </w:rPr>
          <w:t>35</w:t>
        </w:r>
        <w:r>
          <w:rPr>
            <w:noProof/>
          </w:rPr>
          <w:fldChar w:fldCharType="end"/>
        </w:r>
      </w:p>
    </w:sdtContent>
  </w:sdt>
  <w:p w:rsidR="00E03162" w:rsidRDefault="00E03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E0" w:rsidRDefault="004C1FE0" w:rsidP="00C00871">
      <w:pPr>
        <w:spacing w:after="0" w:line="240" w:lineRule="auto"/>
      </w:pPr>
      <w:r>
        <w:separator/>
      </w:r>
    </w:p>
  </w:footnote>
  <w:footnote w:type="continuationSeparator" w:id="0">
    <w:p w:rsidR="004C1FE0" w:rsidRDefault="004C1FE0" w:rsidP="00C0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A02"/>
    <w:multiLevelType w:val="hybridMultilevel"/>
    <w:tmpl w:val="B2C4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D0AF2"/>
    <w:multiLevelType w:val="hybridMultilevel"/>
    <w:tmpl w:val="37923050"/>
    <w:lvl w:ilvl="0" w:tplc="17A803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371044F"/>
    <w:multiLevelType w:val="hybridMultilevel"/>
    <w:tmpl w:val="FA4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40ED0"/>
    <w:multiLevelType w:val="hybridMultilevel"/>
    <w:tmpl w:val="A10CFB3E"/>
    <w:lvl w:ilvl="0" w:tplc="DE3EAF6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D905F4E"/>
    <w:multiLevelType w:val="hybridMultilevel"/>
    <w:tmpl w:val="2C9A6898"/>
    <w:lvl w:ilvl="0" w:tplc="9C8083C8">
      <w:start w:val="1"/>
      <w:numFmt w:val="decimal"/>
      <w:lvlText w:val="%1."/>
      <w:lvlJc w:val="left"/>
      <w:pPr>
        <w:ind w:left="720" w:hanging="360"/>
      </w:pPr>
      <w:rPr>
        <w:rFonts w:ascii="TimesNewRoman" w:eastAsiaTheme="minorHAnsi" w:hAnsi="TimesNewRoman" w:cs="TimesNewRoman"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0D2627C"/>
    <w:multiLevelType w:val="hybridMultilevel"/>
    <w:tmpl w:val="772C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107A4"/>
    <w:multiLevelType w:val="hybridMultilevel"/>
    <w:tmpl w:val="A58A4E9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42D534E1"/>
    <w:multiLevelType w:val="hybridMultilevel"/>
    <w:tmpl w:val="8D5A5D4E"/>
    <w:lvl w:ilvl="0" w:tplc="035052D8">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nsid w:val="56511D5F"/>
    <w:multiLevelType w:val="hybridMultilevel"/>
    <w:tmpl w:val="0FBA915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9">
    <w:nsid w:val="62F3530A"/>
    <w:multiLevelType w:val="hybridMultilevel"/>
    <w:tmpl w:val="6FEC408A"/>
    <w:lvl w:ilvl="0" w:tplc="9DE87C56">
      <w:numFmt w:val="bullet"/>
      <w:lvlText w:val="-"/>
      <w:lvlJc w:val="left"/>
      <w:pPr>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
    <w:nsid w:val="6D28724C"/>
    <w:multiLevelType w:val="hybridMultilevel"/>
    <w:tmpl w:val="0C102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F31DE8"/>
    <w:multiLevelType w:val="hybridMultilevel"/>
    <w:tmpl w:val="F7C2751C"/>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nsid w:val="71E23923"/>
    <w:multiLevelType w:val="hybridMultilevel"/>
    <w:tmpl w:val="51885AFA"/>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734B5B3F"/>
    <w:multiLevelType w:val="hybridMultilevel"/>
    <w:tmpl w:val="5E2C4CE4"/>
    <w:lvl w:ilvl="0" w:tplc="03D8B438">
      <w:start w:val="20"/>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9266803"/>
    <w:multiLevelType w:val="multilevel"/>
    <w:tmpl w:val="1B726E26"/>
    <w:lvl w:ilvl="0">
      <w:start w:val="1"/>
      <w:numFmt w:val="bullet"/>
      <w:lvlText w:val="-"/>
      <w:lvlJc w:val="left"/>
      <w:rPr>
        <w:rFonts w:ascii="MS Reference Sans Serif" w:eastAsia="Times New Roman" w:hAnsi="MS Reference Sans Serif"/>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11"/>
  </w:num>
  <w:num w:numId="3">
    <w:abstractNumId w:val="12"/>
  </w:num>
  <w:num w:numId="4">
    <w:abstractNumId w:val="14"/>
  </w:num>
  <w:num w:numId="5">
    <w:abstractNumId w:val="3"/>
  </w:num>
  <w:num w:numId="6">
    <w:abstractNumId w:val="13"/>
  </w:num>
  <w:num w:numId="7">
    <w:abstractNumId w:val="7"/>
  </w:num>
  <w:num w:numId="8">
    <w:abstractNumId w:val="1"/>
  </w:num>
  <w:num w:numId="9">
    <w:abstractNumId w:val="6"/>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0"/>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116"/>
    <w:rsid w:val="000005D6"/>
    <w:rsid w:val="00012550"/>
    <w:rsid w:val="00015C8F"/>
    <w:rsid w:val="000169D2"/>
    <w:rsid w:val="000254A7"/>
    <w:rsid w:val="0005072B"/>
    <w:rsid w:val="000F6CC4"/>
    <w:rsid w:val="00146272"/>
    <w:rsid w:val="001668BD"/>
    <w:rsid w:val="001A0F07"/>
    <w:rsid w:val="001D139A"/>
    <w:rsid w:val="001E274A"/>
    <w:rsid w:val="001E68B7"/>
    <w:rsid w:val="00217637"/>
    <w:rsid w:val="00261F51"/>
    <w:rsid w:val="00264BC7"/>
    <w:rsid w:val="002E6976"/>
    <w:rsid w:val="002F3A3E"/>
    <w:rsid w:val="002F4BA7"/>
    <w:rsid w:val="003143F8"/>
    <w:rsid w:val="00321942"/>
    <w:rsid w:val="003402E9"/>
    <w:rsid w:val="00342D00"/>
    <w:rsid w:val="00343003"/>
    <w:rsid w:val="00396AB8"/>
    <w:rsid w:val="003B6DB4"/>
    <w:rsid w:val="003C33FB"/>
    <w:rsid w:val="003D5D20"/>
    <w:rsid w:val="00405926"/>
    <w:rsid w:val="00416D16"/>
    <w:rsid w:val="00441334"/>
    <w:rsid w:val="0045697B"/>
    <w:rsid w:val="00461C41"/>
    <w:rsid w:val="004700BC"/>
    <w:rsid w:val="004A1EFB"/>
    <w:rsid w:val="004B0F11"/>
    <w:rsid w:val="004B4A05"/>
    <w:rsid w:val="004C1FE0"/>
    <w:rsid w:val="004C5181"/>
    <w:rsid w:val="00527584"/>
    <w:rsid w:val="00573237"/>
    <w:rsid w:val="00596F90"/>
    <w:rsid w:val="005B5DD7"/>
    <w:rsid w:val="005B7F81"/>
    <w:rsid w:val="005C43BD"/>
    <w:rsid w:val="005D7644"/>
    <w:rsid w:val="00613589"/>
    <w:rsid w:val="006170C3"/>
    <w:rsid w:val="00625591"/>
    <w:rsid w:val="00635236"/>
    <w:rsid w:val="00651717"/>
    <w:rsid w:val="00693B38"/>
    <w:rsid w:val="0069573E"/>
    <w:rsid w:val="006959F4"/>
    <w:rsid w:val="006A6B04"/>
    <w:rsid w:val="006B5EE0"/>
    <w:rsid w:val="006C6B74"/>
    <w:rsid w:val="006D3885"/>
    <w:rsid w:val="007A52FE"/>
    <w:rsid w:val="007B04E3"/>
    <w:rsid w:val="007D6673"/>
    <w:rsid w:val="00816980"/>
    <w:rsid w:val="008245E6"/>
    <w:rsid w:val="00836051"/>
    <w:rsid w:val="00886225"/>
    <w:rsid w:val="008B2893"/>
    <w:rsid w:val="008C3ECA"/>
    <w:rsid w:val="00925AD6"/>
    <w:rsid w:val="00936116"/>
    <w:rsid w:val="009412B3"/>
    <w:rsid w:val="00970663"/>
    <w:rsid w:val="00985511"/>
    <w:rsid w:val="00987E6F"/>
    <w:rsid w:val="009E309B"/>
    <w:rsid w:val="00A03FBD"/>
    <w:rsid w:val="00A228A3"/>
    <w:rsid w:val="00A24CF3"/>
    <w:rsid w:val="00A339F4"/>
    <w:rsid w:val="00A549ED"/>
    <w:rsid w:val="00A92940"/>
    <w:rsid w:val="00AA71C9"/>
    <w:rsid w:val="00AC38D1"/>
    <w:rsid w:val="00AC6A11"/>
    <w:rsid w:val="00B32D72"/>
    <w:rsid w:val="00B853E8"/>
    <w:rsid w:val="00B966BB"/>
    <w:rsid w:val="00BB738B"/>
    <w:rsid w:val="00C00871"/>
    <w:rsid w:val="00C03AEA"/>
    <w:rsid w:val="00C269C9"/>
    <w:rsid w:val="00C36B45"/>
    <w:rsid w:val="00C65C05"/>
    <w:rsid w:val="00C92D05"/>
    <w:rsid w:val="00C92ED5"/>
    <w:rsid w:val="00CB5D6F"/>
    <w:rsid w:val="00CC503B"/>
    <w:rsid w:val="00CE190D"/>
    <w:rsid w:val="00CE3EFD"/>
    <w:rsid w:val="00D01A42"/>
    <w:rsid w:val="00D10E14"/>
    <w:rsid w:val="00D2555B"/>
    <w:rsid w:val="00D44841"/>
    <w:rsid w:val="00D45E23"/>
    <w:rsid w:val="00D51A31"/>
    <w:rsid w:val="00D72FFA"/>
    <w:rsid w:val="00DA40B0"/>
    <w:rsid w:val="00DA4C38"/>
    <w:rsid w:val="00DD61DC"/>
    <w:rsid w:val="00DE0B05"/>
    <w:rsid w:val="00DE1EF6"/>
    <w:rsid w:val="00DE2F00"/>
    <w:rsid w:val="00DE53E6"/>
    <w:rsid w:val="00DF7017"/>
    <w:rsid w:val="00E006FD"/>
    <w:rsid w:val="00E03106"/>
    <w:rsid w:val="00E03162"/>
    <w:rsid w:val="00E34009"/>
    <w:rsid w:val="00E35B36"/>
    <w:rsid w:val="00E66200"/>
    <w:rsid w:val="00E67BB5"/>
    <w:rsid w:val="00E94071"/>
    <w:rsid w:val="00EC59E9"/>
    <w:rsid w:val="00F42966"/>
    <w:rsid w:val="00F44576"/>
    <w:rsid w:val="00F56B0A"/>
    <w:rsid w:val="00F804DB"/>
    <w:rsid w:val="00FD2B85"/>
    <w:rsid w:val="00FD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74A"/>
    <w:pPr>
      <w:ind w:left="720"/>
      <w:contextualSpacing/>
    </w:pPr>
  </w:style>
  <w:style w:type="paragraph" w:styleId="Header">
    <w:name w:val="header"/>
    <w:basedOn w:val="Normal"/>
    <w:link w:val="HeaderChar"/>
    <w:uiPriority w:val="99"/>
    <w:unhideWhenUsed/>
    <w:rsid w:val="00C0087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00871"/>
  </w:style>
  <w:style w:type="paragraph" w:styleId="Footer">
    <w:name w:val="footer"/>
    <w:basedOn w:val="Normal"/>
    <w:link w:val="FooterChar"/>
    <w:uiPriority w:val="99"/>
    <w:unhideWhenUsed/>
    <w:rsid w:val="00C0087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00871"/>
  </w:style>
  <w:style w:type="table" w:styleId="TableGrid">
    <w:name w:val="Table Grid"/>
    <w:basedOn w:val="TableNormal"/>
    <w:uiPriority w:val="59"/>
    <w:rsid w:val="0088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74A"/>
    <w:pPr>
      <w:ind w:left="720"/>
      <w:contextualSpacing/>
    </w:pPr>
  </w:style>
  <w:style w:type="paragraph" w:styleId="Header">
    <w:name w:val="header"/>
    <w:basedOn w:val="Normal"/>
    <w:link w:val="HeaderChar"/>
    <w:uiPriority w:val="99"/>
    <w:unhideWhenUsed/>
    <w:rsid w:val="00C0087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00871"/>
  </w:style>
  <w:style w:type="paragraph" w:styleId="Footer">
    <w:name w:val="footer"/>
    <w:basedOn w:val="Normal"/>
    <w:link w:val="FooterChar"/>
    <w:uiPriority w:val="99"/>
    <w:unhideWhenUsed/>
    <w:rsid w:val="00C0087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00871"/>
  </w:style>
  <w:style w:type="table" w:styleId="TableGrid">
    <w:name w:val="Table Grid"/>
    <w:basedOn w:val="TableNormal"/>
    <w:uiPriority w:val="59"/>
    <w:rsid w:val="0088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0581">
      <w:bodyDiv w:val="1"/>
      <w:marLeft w:val="0"/>
      <w:marRight w:val="0"/>
      <w:marTop w:val="0"/>
      <w:marBottom w:val="0"/>
      <w:divBdr>
        <w:top w:val="none" w:sz="0" w:space="0" w:color="auto"/>
        <w:left w:val="none" w:sz="0" w:space="0" w:color="auto"/>
        <w:bottom w:val="none" w:sz="0" w:space="0" w:color="auto"/>
        <w:right w:val="none" w:sz="0" w:space="0" w:color="auto"/>
      </w:divBdr>
    </w:div>
    <w:div w:id="230966918">
      <w:bodyDiv w:val="1"/>
      <w:marLeft w:val="0"/>
      <w:marRight w:val="0"/>
      <w:marTop w:val="0"/>
      <w:marBottom w:val="0"/>
      <w:divBdr>
        <w:top w:val="none" w:sz="0" w:space="0" w:color="auto"/>
        <w:left w:val="none" w:sz="0" w:space="0" w:color="auto"/>
        <w:bottom w:val="none" w:sz="0" w:space="0" w:color="auto"/>
        <w:right w:val="none" w:sz="0" w:space="0" w:color="auto"/>
      </w:divBdr>
    </w:div>
    <w:div w:id="13330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F786-7BC1-49B5-AAB3-19BFF6D6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13165</Words>
  <Characters>75044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Hristo P. Troanski</dc:creator>
  <cp:lastModifiedBy>Hristo P. Troanski</cp:lastModifiedBy>
  <cp:revision>3</cp:revision>
  <dcterms:created xsi:type="dcterms:W3CDTF">2018-01-26T12:01:00Z</dcterms:created>
  <dcterms:modified xsi:type="dcterms:W3CDTF">2018-01-26T14:11:00Z</dcterms:modified>
</cp:coreProperties>
</file>