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2.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583477779"/>
        <w:docPartObj>
          <w:docPartGallery w:val="Cover Pages"/>
          <w:docPartUnique/>
        </w:docPartObj>
      </w:sdtPr>
      <w:sdtEndPr>
        <w:rPr>
          <w:i/>
          <w:iCs/>
          <w:color w:val="4F81BD" w:themeColor="accent1"/>
          <w:spacing w:val="15"/>
          <w:sz w:val="24"/>
          <w:szCs w:val="24"/>
          <w:lang w:val="en-US" w:eastAsia="ja-JP"/>
        </w:rPr>
      </w:sdtEndPr>
      <w:sdtContent>
        <w:p w:rsidR="00747CB4" w:rsidRDefault="00747CB4" w:rsidP="00747CB4">
          <w:r>
            <w:rPr>
              <w:i/>
              <w:iCs/>
              <w:noProof/>
              <w:color w:val="4F81BD" w:themeColor="accent1"/>
              <w:spacing w:val="15"/>
              <w:sz w:val="24"/>
              <w:szCs w:val="24"/>
              <w:lang w:eastAsia="bg-BG"/>
            </w:rPr>
            <w:drawing>
              <wp:inline distT="0" distB="0" distL="0" distR="0" wp14:anchorId="648D0CC6" wp14:editId="12300729">
                <wp:extent cx="2733675" cy="752475"/>
                <wp:effectExtent l="0" t="0" r="9525" b="9525"/>
                <wp:docPr id="9" name="Picture 9" descr="Y:\GEOGRAPHICA docs\logo\geographica-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GEOGRAPHICA docs\logo\geographica-logo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r>
            <w:rPr>
              <w:noProof/>
              <w:lang w:eastAsia="bg-BG"/>
            </w:rPr>
            <mc:AlternateContent>
              <mc:Choice Requires="wps">
                <w:drawing>
                  <wp:anchor distT="0" distB="0" distL="114300" distR="114300" simplePos="0" relativeHeight="251661312" behindDoc="0" locked="0" layoutInCell="0" allowOverlap="1" wp14:anchorId="578F73B4" wp14:editId="3556A8FE">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p w:rsidR="00E71648" w:rsidRPr="006707DE" w:rsidRDefault="0078426B" w:rsidP="00747CB4">
                                <w:pPr>
                                  <w:pStyle w:val="NoSpacing"/>
                                  <w:jc w:val="center"/>
                                  <w:rPr>
                                    <w:rFonts w:asciiTheme="majorHAnsi" w:eastAsiaTheme="majorEastAsia" w:hAnsiTheme="majorHAnsi" w:cstheme="majorBidi"/>
                                    <w:color w:val="FFFFFF" w:themeColor="background1"/>
                                    <w:sz w:val="72"/>
                                    <w:szCs w:val="72"/>
                                    <w:lang w:val="bg-BG"/>
                                  </w:rPr>
                                </w:pPr>
                                <w:sdt>
                                  <w:sdtPr>
                                    <w:rPr>
                                      <w:rFonts w:asciiTheme="majorHAnsi" w:eastAsiaTheme="majorEastAsia" w:hAnsiTheme="majorHAnsi" w:cstheme="majorBidi"/>
                                      <w:color w:val="FFFFFF" w:themeColor="background1"/>
                                      <w:sz w:val="72"/>
                                      <w:szCs w:val="72"/>
                                    </w:rPr>
                                    <w:alias w:val="Title"/>
                                    <w:id w:val="435641649"/>
                                    <w:dataBinding w:prefixMappings="xmlns:ns0='http://schemas.openxmlformats.org/package/2006/metadata/core-properties' xmlns:ns1='http://purl.org/dc/elements/1.1/'" w:xpath="/ns0:coreProperties[1]/ns1:title[1]" w:storeItemID="{6C3C8BC8-F283-45AE-878A-BAB7291924A1}"/>
                                    <w:text/>
                                  </w:sdtPr>
                                  <w:sdtEndPr/>
                                  <w:sdtContent>
                                    <w:r w:rsidR="00E71648">
                                      <w:rPr>
                                        <w:rFonts w:asciiTheme="majorHAnsi" w:eastAsiaTheme="majorEastAsia" w:hAnsiTheme="majorHAnsi" w:cstheme="majorBidi"/>
                                        <w:color w:val="FFFFFF" w:themeColor="background1"/>
                                        <w:sz w:val="72"/>
                                        <w:szCs w:val="72"/>
                                        <w:lang w:val="bg-BG"/>
                                      </w:rPr>
                                      <w:t>Доклад</w:t>
                                    </w:r>
                                  </w:sdtContent>
                                </w:sdt>
                                <w:r w:rsidR="00E71648">
                                  <w:rPr>
                                    <w:rFonts w:asciiTheme="majorHAnsi" w:eastAsiaTheme="majorEastAsia" w:hAnsiTheme="majorHAnsi" w:cstheme="majorBidi"/>
                                    <w:color w:val="FFFFFF" w:themeColor="background1"/>
                                    <w:sz w:val="72"/>
                                    <w:szCs w:val="72"/>
                                    <w:lang w:val="bg-BG"/>
                                  </w:rPr>
                                  <w:t xml:space="preserve"> с резултатите от Междинна оценка на ОСР 2014-2020г. на област Ловеч</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NNAIAAFw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" o:allowincell="f" fillcolor="#4f81bd [3204]" strokecolor="white [3212]" strokeweight="1pt">
                    <v:textbox style="mso-fit-shape-to-text:t" inset="14.4pt,,14.4pt">
                      <w:txbxContent>
                        <w:p w:rsidR="00CF5622" w:rsidRPr="006707DE" w:rsidRDefault="00CF5622" w:rsidP="00747CB4">
                          <w:pPr>
                            <w:pStyle w:val="NoSpacing"/>
                            <w:jc w:val="center"/>
                            <w:rPr>
                              <w:rFonts w:asciiTheme="majorHAnsi" w:eastAsiaTheme="majorEastAsia" w:hAnsiTheme="majorHAnsi" w:cstheme="majorBidi"/>
                              <w:color w:val="FFFFFF" w:themeColor="background1"/>
                              <w:sz w:val="72"/>
                              <w:szCs w:val="72"/>
                              <w:lang w:val="bg-BG"/>
                            </w:rPr>
                          </w:pPr>
                          <w:sdt>
                            <w:sdtPr>
                              <w:rPr>
                                <w:rFonts w:asciiTheme="majorHAnsi" w:eastAsiaTheme="majorEastAsia" w:hAnsiTheme="majorHAnsi" w:cstheme="majorBidi"/>
                                <w:color w:val="FFFFFF" w:themeColor="background1"/>
                                <w:sz w:val="72"/>
                                <w:szCs w:val="72"/>
                              </w:rPr>
                              <w:alias w:val="Title"/>
                              <w:id w:val="435641649"/>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FFFFFF" w:themeColor="background1"/>
                                  <w:sz w:val="72"/>
                                  <w:szCs w:val="72"/>
                                  <w:lang w:val="bg-BG"/>
                                </w:rPr>
                                <w:t>Доклад</w:t>
                              </w:r>
                            </w:sdtContent>
                          </w:sdt>
                          <w:r>
                            <w:rPr>
                              <w:rFonts w:asciiTheme="majorHAnsi" w:eastAsiaTheme="majorEastAsia" w:hAnsiTheme="majorHAnsi" w:cstheme="majorBidi"/>
                              <w:color w:val="FFFFFF" w:themeColor="background1"/>
                              <w:sz w:val="72"/>
                              <w:szCs w:val="72"/>
                              <w:lang w:val="bg-BG"/>
                            </w:rPr>
                            <w:t xml:space="preserve"> с резултатите от Междинна оценка на ОСР 2014-2020г. на област Ловеч</w:t>
                          </w:r>
                        </w:p>
                      </w:txbxContent>
                    </v:textbox>
                    <w10:wrap anchorx="page" anchory="page"/>
                  </v:rect>
                </w:pict>
              </mc:Fallback>
            </mc:AlternateContent>
          </w:r>
          <w:r>
            <w:rPr>
              <w:noProof/>
              <w:lang w:eastAsia="bg-BG"/>
            </w:rPr>
            <mc:AlternateContent>
              <mc:Choice Requires="wpg">
                <w:drawing>
                  <wp:anchor distT="0" distB="0" distL="114300" distR="114300" simplePos="0" relativeHeight="251659264" behindDoc="0" locked="0" layoutInCell="0" allowOverlap="1" wp14:anchorId="589DE1A1" wp14:editId="3BE5B0A9">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71648" w:rsidRDefault="00E71648">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71648" w:rsidRDefault="00E71648">
                                  <w:pPr>
                                    <w:pStyle w:val="NoSpacing"/>
                                    <w:spacing w:line="360" w:lineRule="auto"/>
                                    <w:rPr>
                                      <w:color w:val="FFFFFF" w:themeColor="background1"/>
                                    </w:rPr>
                                  </w:pPr>
                                </w:p>
                                <w:sdt>
                                  <w:sdtPr>
                                    <w:rPr>
                                      <w:b/>
                                      <w:color w:val="FFFFFF" w:themeColor="background1"/>
                                      <w:sz w:val="24"/>
                                      <w:szCs w:val="24"/>
                                    </w:rPr>
                                    <w:alias w:val="Company"/>
                                    <w:id w:val="103676099"/>
                                    <w:dataBinding w:prefixMappings="xmlns:ns0='http://schemas.openxmlformats.org/officeDocument/2006/extended-properties'" w:xpath="/ns0:Properties[1]/ns0:Company[1]" w:storeItemID="{6668398D-A668-4E3E-A5EB-62B293D839F1}"/>
                                    <w:text/>
                                  </w:sdtPr>
                                  <w:sdtEndPr/>
                                  <w:sdtContent>
                                    <w:p w:rsidR="00E71648" w:rsidRPr="00747CB4" w:rsidRDefault="00E71648">
                                      <w:pPr>
                                        <w:pStyle w:val="NoSpacing"/>
                                        <w:spacing w:line="360" w:lineRule="auto"/>
                                        <w:rPr>
                                          <w:b/>
                                          <w:color w:val="FFFFFF" w:themeColor="background1"/>
                                          <w:sz w:val="24"/>
                                          <w:szCs w:val="24"/>
                                        </w:rPr>
                                      </w:pPr>
                                      <w:r w:rsidRPr="00747CB4">
                                        <w:rPr>
                                          <w:b/>
                                          <w:color w:val="FFFFFF" w:themeColor="background1"/>
                                          <w:sz w:val="24"/>
                                          <w:szCs w:val="24"/>
                                          <w:lang w:val="bg-BG"/>
                                        </w:rPr>
                                        <w:t>Географика ООД</w:t>
                                      </w:r>
                                    </w:p>
                                  </w:sdtContent>
                                </w:sdt>
                                <w:sdt>
                                  <w:sdtPr>
                                    <w:rPr>
                                      <w:b/>
                                      <w:color w:val="FFFFFF" w:themeColor="background1"/>
                                      <w:sz w:val="24"/>
                                      <w:szCs w:val="24"/>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E71648" w:rsidRPr="00747CB4" w:rsidRDefault="00E71648">
                                      <w:pPr>
                                        <w:pStyle w:val="NoSpacing"/>
                                        <w:spacing w:line="360" w:lineRule="auto"/>
                                        <w:rPr>
                                          <w:b/>
                                          <w:color w:val="FFFFFF" w:themeColor="background1"/>
                                          <w:sz w:val="24"/>
                                          <w:szCs w:val="24"/>
                                        </w:rPr>
                                      </w:pPr>
                                      <w:r>
                                        <w:rPr>
                                          <w:b/>
                                          <w:color w:val="FFFFFF" w:themeColor="background1"/>
                                          <w:sz w:val="24"/>
                                          <w:szCs w:val="24"/>
                                          <w:lang w:val="bg-BG"/>
                                        </w:rPr>
                                        <w:t>Април</w:t>
                                      </w:r>
                                      <w:r w:rsidRPr="00747CB4">
                                        <w:rPr>
                                          <w:b/>
                                          <w:color w:val="FFFFFF" w:themeColor="background1"/>
                                          <w:sz w:val="24"/>
                                          <w:szCs w:val="24"/>
                                        </w:rPr>
                                        <w:t xml:space="preserve"> 2018г.</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1"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CF5622" w:rsidRDefault="00CF5622">
                            <w:pPr>
                              <w:pStyle w:val="NoSpacing"/>
                              <w:rPr>
                                <w:rFonts w:asciiTheme="majorHAnsi" w:eastAsiaTheme="majorEastAsia" w:hAnsiTheme="majorHAnsi" w:cstheme="majorBidi"/>
                                <w:b/>
                                <w:bCs/>
                                <w:color w:val="FFFFFF" w:themeColor="background1"/>
                                <w:sz w:val="96"/>
                                <w:szCs w:val="96"/>
                              </w:rPr>
                            </w:pP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CF5622" w:rsidRDefault="00CF5622">
                            <w:pPr>
                              <w:pStyle w:val="NoSpacing"/>
                              <w:spacing w:line="360" w:lineRule="auto"/>
                              <w:rPr>
                                <w:color w:val="FFFFFF" w:themeColor="background1"/>
                              </w:rPr>
                            </w:pPr>
                          </w:p>
                          <w:sdt>
                            <w:sdtPr>
                              <w:rPr>
                                <w:b/>
                                <w:color w:val="FFFFFF" w:themeColor="background1"/>
                                <w:sz w:val="24"/>
                                <w:szCs w:val="24"/>
                              </w:rPr>
                              <w:alias w:val="Company"/>
                              <w:id w:val="103676099"/>
                              <w:dataBinding w:prefixMappings="xmlns:ns0='http://schemas.openxmlformats.org/officeDocument/2006/extended-properties'" w:xpath="/ns0:Properties[1]/ns0:Company[1]" w:storeItemID="{6668398D-A668-4E3E-A5EB-62B293D839F1}"/>
                              <w:text/>
                            </w:sdtPr>
                            <w:sdtContent>
                              <w:p w:rsidR="00CF5622" w:rsidRPr="00747CB4" w:rsidRDefault="00CF5622">
                                <w:pPr>
                                  <w:pStyle w:val="NoSpacing"/>
                                  <w:spacing w:line="360" w:lineRule="auto"/>
                                  <w:rPr>
                                    <w:b/>
                                    <w:color w:val="FFFFFF" w:themeColor="background1"/>
                                    <w:sz w:val="24"/>
                                    <w:szCs w:val="24"/>
                                  </w:rPr>
                                </w:pPr>
                                <w:r w:rsidRPr="00747CB4">
                                  <w:rPr>
                                    <w:b/>
                                    <w:color w:val="FFFFFF" w:themeColor="background1"/>
                                    <w:sz w:val="24"/>
                                    <w:szCs w:val="24"/>
                                    <w:lang w:val="bg-BG"/>
                                  </w:rPr>
                                  <w:t>Географика ООД</w:t>
                                </w:r>
                              </w:p>
                            </w:sdtContent>
                          </w:sdt>
                          <w:sdt>
                            <w:sdtPr>
                              <w:rPr>
                                <w:b/>
                                <w:color w:val="FFFFFF" w:themeColor="background1"/>
                                <w:sz w:val="24"/>
                                <w:szCs w:val="24"/>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CF5622" w:rsidRPr="00747CB4" w:rsidRDefault="00CF5622">
                                <w:pPr>
                                  <w:pStyle w:val="NoSpacing"/>
                                  <w:spacing w:line="360" w:lineRule="auto"/>
                                  <w:rPr>
                                    <w:b/>
                                    <w:color w:val="FFFFFF" w:themeColor="background1"/>
                                    <w:sz w:val="24"/>
                                    <w:szCs w:val="24"/>
                                  </w:rPr>
                                </w:pPr>
                                <w:r>
                                  <w:rPr>
                                    <w:b/>
                                    <w:color w:val="FFFFFF" w:themeColor="background1"/>
                                    <w:sz w:val="24"/>
                                    <w:szCs w:val="24"/>
                                    <w:lang w:val="bg-BG"/>
                                  </w:rPr>
                                  <w:t>Април</w:t>
                                </w:r>
                                <w:r w:rsidRPr="00747CB4">
                                  <w:rPr>
                                    <w:b/>
                                    <w:color w:val="FFFFFF" w:themeColor="background1"/>
                                    <w:sz w:val="24"/>
                                    <w:szCs w:val="24"/>
                                  </w:rPr>
                                  <w:t xml:space="preserve"> 2018г.</w:t>
                                </w:r>
                              </w:p>
                            </w:sdtContent>
                          </w:sdt>
                        </w:txbxContent>
                      </v:textbox>
                    </v:rect>
                    <w10:wrap anchorx="page" anchory="page"/>
                  </v:group>
                </w:pict>
              </mc:Fallback>
            </mc:AlternateContent>
          </w:r>
        </w:p>
        <w:p w:rsidR="00747CB4" w:rsidRDefault="00747CB4">
          <w:pPr>
            <w:rPr>
              <w:b/>
              <w:bCs/>
              <w:i/>
              <w:iCs/>
              <w:color w:val="4F81BD" w:themeColor="accent1"/>
              <w:spacing w:val="15"/>
              <w:sz w:val="24"/>
              <w:szCs w:val="24"/>
              <w:lang w:val="en-US" w:eastAsia="ja-JP"/>
            </w:rPr>
          </w:pPr>
          <w:r>
            <w:rPr>
              <w:noProof/>
              <w:lang w:eastAsia="bg-BG"/>
            </w:rPr>
            <mc:AlternateContent>
              <mc:Choice Requires="wps">
                <w:drawing>
                  <wp:anchor distT="0" distB="0" distL="114300" distR="114300" simplePos="0" relativeHeight="251663360" behindDoc="0" locked="0" layoutInCell="0" allowOverlap="1" wp14:anchorId="75B70EB2" wp14:editId="0ABBB190">
                    <wp:simplePos x="0" y="0"/>
                    <wp:positionH relativeFrom="page">
                      <wp:posOffset>9525</wp:posOffset>
                    </wp:positionH>
                    <wp:positionV relativeFrom="page">
                      <wp:posOffset>4685665</wp:posOffset>
                    </wp:positionV>
                    <wp:extent cx="6995160" cy="1685925"/>
                    <wp:effectExtent l="0" t="0" r="19050" b="2857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685925"/>
                            </a:xfrm>
                            <a:prstGeom prst="rect">
                              <a:avLst/>
                            </a:prstGeom>
                            <a:solidFill>
                              <a:schemeClr val="accent1"/>
                            </a:solidFill>
                            <a:ln w="12700">
                              <a:solidFill>
                                <a:schemeClr val="bg1"/>
                              </a:solidFill>
                              <a:miter lim="800000"/>
                              <a:headEnd/>
                              <a:tailEnd/>
                            </a:ln>
                            <a:extLst/>
                          </wps:spPr>
                          <wps:txbx>
                            <w:txbxContent>
                              <w:p w:rsidR="00E71648" w:rsidRDefault="00E71648" w:rsidP="00747CB4">
                                <w:pPr>
                                  <w:pStyle w:val="NoSpacing"/>
                                  <w:jc w:val="center"/>
                                  <w:rPr>
                                    <w:rFonts w:asciiTheme="majorHAnsi" w:eastAsiaTheme="majorEastAsia" w:hAnsiTheme="majorHAnsi" w:cstheme="majorBidi"/>
                                    <w:color w:val="FFFFFF" w:themeColor="background1"/>
                                    <w:sz w:val="44"/>
                                    <w:szCs w:val="44"/>
                                    <w:lang w:val="bg-BG"/>
                                  </w:rPr>
                                </w:pPr>
                                <w:r>
                                  <w:rPr>
                                    <w:rFonts w:asciiTheme="majorHAnsi" w:eastAsiaTheme="majorEastAsia" w:hAnsiTheme="majorHAnsi" w:cstheme="majorBidi"/>
                                    <w:color w:val="FFFFFF" w:themeColor="background1"/>
                                    <w:sz w:val="44"/>
                                    <w:szCs w:val="44"/>
                                    <w:lang w:val="bg-BG"/>
                                  </w:rPr>
                                  <w:t xml:space="preserve">Договор: </w:t>
                                </w:r>
                                <w:r w:rsidRPr="00747CB4">
                                  <w:rPr>
                                    <w:rFonts w:asciiTheme="majorHAnsi" w:eastAsiaTheme="majorEastAsia" w:hAnsiTheme="majorHAnsi" w:cstheme="majorBidi"/>
                                    <w:color w:val="FFFFFF" w:themeColor="background1"/>
                                    <w:sz w:val="44"/>
                                    <w:szCs w:val="44"/>
                                  </w:rPr>
                                  <w:t>„</w:t>
                                </w:r>
                                <w:r w:rsidRPr="00747CB4">
                                  <w:rPr>
                                    <w:rFonts w:asciiTheme="majorHAnsi" w:eastAsiaTheme="majorEastAsia" w:hAnsiTheme="majorHAnsi" w:cstheme="majorBidi"/>
                                    <w:color w:val="FFFFFF" w:themeColor="background1"/>
                                    <w:sz w:val="44"/>
                                    <w:szCs w:val="44"/>
                                    <w:lang w:val="bg-BG"/>
                                  </w:rPr>
                                  <w:t xml:space="preserve">Изготвяне на междинна оценка на </w:t>
                                </w:r>
                              </w:p>
                              <w:p w:rsidR="00E71648" w:rsidRPr="00747CB4" w:rsidRDefault="00E71648" w:rsidP="00747CB4">
                                <w:pPr>
                                  <w:pStyle w:val="NoSpacing"/>
                                  <w:jc w:val="center"/>
                                  <w:rPr>
                                    <w:rFonts w:asciiTheme="majorHAnsi" w:eastAsiaTheme="majorEastAsia" w:hAnsiTheme="majorHAnsi" w:cstheme="majorBidi"/>
                                    <w:color w:val="FFFFFF" w:themeColor="background1"/>
                                    <w:sz w:val="44"/>
                                    <w:szCs w:val="44"/>
                                    <w:lang w:val="bg-BG"/>
                                  </w:rPr>
                                </w:pPr>
                                <w:r w:rsidRPr="00747CB4">
                                  <w:rPr>
                                    <w:rFonts w:asciiTheme="majorHAnsi" w:eastAsiaTheme="majorEastAsia" w:hAnsiTheme="majorHAnsi" w:cstheme="majorBidi"/>
                                    <w:color w:val="FFFFFF" w:themeColor="background1"/>
                                    <w:sz w:val="44"/>
                                    <w:szCs w:val="44"/>
                                    <w:lang w:val="bg-BG"/>
                                  </w:rPr>
                                  <w:t>Областна стратегия за развитие на област Ловеч за периода 2014-2020 г.“</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id="_x0000_s1033" style="position:absolute;margin-left:.75pt;margin-top:368.95pt;width:550.8pt;height:132.75pt;z-index:25166336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" o:allowincell="f" fillcolor="#4f81bd [3204]" strokecolor="white [3212]" strokeweight="1pt">
                    <v:textbox inset="14.4pt,,14.4pt">
                      <w:txbxContent>
                        <w:p w:rsidR="00CF5622" w:rsidRDefault="00CF5622" w:rsidP="00747CB4">
                          <w:pPr>
                            <w:pStyle w:val="NoSpacing"/>
                            <w:jc w:val="center"/>
                            <w:rPr>
                              <w:rFonts w:asciiTheme="majorHAnsi" w:eastAsiaTheme="majorEastAsia" w:hAnsiTheme="majorHAnsi" w:cstheme="majorBidi"/>
                              <w:color w:val="FFFFFF" w:themeColor="background1"/>
                              <w:sz w:val="44"/>
                              <w:szCs w:val="44"/>
                              <w:lang w:val="bg-BG"/>
                            </w:rPr>
                          </w:pPr>
                          <w:r>
                            <w:rPr>
                              <w:rFonts w:asciiTheme="majorHAnsi" w:eastAsiaTheme="majorEastAsia" w:hAnsiTheme="majorHAnsi" w:cstheme="majorBidi"/>
                              <w:color w:val="FFFFFF" w:themeColor="background1"/>
                              <w:sz w:val="44"/>
                              <w:szCs w:val="44"/>
                              <w:lang w:val="bg-BG"/>
                            </w:rPr>
                            <w:t xml:space="preserve">Договор: </w:t>
                          </w:r>
                          <w:r w:rsidRPr="00747CB4">
                            <w:rPr>
                              <w:rFonts w:asciiTheme="majorHAnsi" w:eastAsiaTheme="majorEastAsia" w:hAnsiTheme="majorHAnsi" w:cstheme="majorBidi"/>
                              <w:color w:val="FFFFFF" w:themeColor="background1"/>
                              <w:sz w:val="44"/>
                              <w:szCs w:val="44"/>
                            </w:rPr>
                            <w:t>„</w:t>
                          </w:r>
                          <w:r w:rsidRPr="00747CB4">
                            <w:rPr>
                              <w:rFonts w:asciiTheme="majorHAnsi" w:eastAsiaTheme="majorEastAsia" w:hAnsiTheme="majorHAnsi" w:cstheme="majorBidi"/>
                              <w:color w:val="FFFFFF" w:themeColor="background1"/>
                              <w:sz w:val="44"/>
                              <w:szCs w:val="44"/>
                              <w:lang w:val="bg-BG"/>
                            </w:rPr>
                            <w:t xml:space="preserve">Изготвяне на междинна оценка на </w:t>
                          </w:r>
                        </w:p>
                        <w:p w:rsidR="00CF5622" w:rsidRPr="00747CB4" w:rsidRDefault="00CF5622" w:rsidP="00747CB4">
                          <w:pPr>
                            <w:pStyle w:val="NoSpacing"/>
                            <w:jc w:val="center"/>
                            <w:rPr>
                              <w:rFonts w:asciiTheme="majorHAnsi" w:eastAsiaTheme="majorEastAsia" w:hAnsiTheme="majorHAnsi" w:cstheme="majorBidi"/>
                              <w:color w:val="FFFFFF" w:themeColor="background1"/>
                              <w:sz w:val="44"/>
                              <w:szCs w:val="44"/>
                              <w:lang w:val="bg-BG"/>
                            </w:rPr>
                          </w:pPr>
                          <w:r w:rsidRPr="00747CB4">
                            <w:rPr>
                              <w:rFonts w:asciiTheme="majorHAnsi" w:eastAsiaTheme="majorEastAsia" w:hAnsiTheme="majorHAnsi" w:cstheme="majorBidi"/>
                              <w:color w:val="FFFFFF" w:themeColor="background1"/>
                              <w:sz w:val="44"/>
                              <w:szCs w:val="44"/>
                              <w:lang w:val="bg-BG"/>
                            </w:rPr>
                            <w:t>Областна стратегия за развитие на област Ловеч за периода 2014-2020 г.“</w:t>
                          </w:r>
                        </w:p>
                      </w:txbxContent>
                    </v:textbox>
                    <w10:wrap anchorx="page" anchory="page"/>
                  </v:rect>
                </w:pict>
              </mc:Fallback>
            </mc:AlternateContent>
          </w:r>
          <w:r>
            <w:rPr>
              <w:i/>
              <w:iCs/>
              <w:color w:val="4F81BD" w:themeColor="accent1"/>
              <w:spacing w:val="15"/>
              <w:sz w:val="24"/>
              <w:szCs w:val="24"/>
              <w:lang w:val="en-US" w:eastAsia="ja-JP"/>
            </w:rPr>
            <w:br w:type="page"/>
          </w:r>
        </w:p>
      </w:sdtContent>
    </w:sdt>
    <w:p w:rsidR="00747A4A" w:rsidRDefault="00747A4A" w:rsidP="0050323B">
      <w:pPr>
        <w:pStyle w:val="Heading1"/>
        <w:spacing w:before="0" w:after="120" w:line="240" w:lineRule="auto"/>
        <w:ind w:firstLine="708"/>
        <w:rPr>
          <w:rFonts w:eastAsia="Times New Roman"/>
        </w:rPr>
      </w:pPr>
    </w:p>
    <w:p w:rsidR="00747A4A" w:rsidRPr="00396146" w:rsidRDefault="00747A4A" w:rsidP="00396146">
      <w:pPr>
        <w:spacing w:before="240"/>
        <w:rPr>
          <w:rFonts w:asciiTheme="majorHAnsi" w:hAnsiTheme="majorHAnsi"/>
          <w:b/>
          <w:color w:val="365F91" w:themeColor="accent1" w:themeShade="BF"/>
          <w:sz w:val="28"/>
          <w:szCs w:val="28"/>
        </w:rPr>
      </w:pPr>
      <w:r w:rsidRPr="00396146">
        <w:rPr>
          <w:rFonts w:asciiTheme="majorHAnsi" w:hAnsiTheme="majorHAnsi"/>
          <w:b/>
          <w:color w:val="365F91" w:themeColor="accent1" w:themeShade="BF"/>
          <w:sz w:val="28"/>
          <w:szCs w:val="28"/>
        </w:rPr>
        <w:t xml:space="preserve">Съдържание </w:t>
      </w:r>
    </w:p>
    <w:p w:rsidR="00747A4A" w:rsidRPr="00396146" w:rsidRDefault="00747A4A" w:rsidP="00396146">
      <w:pPr>
        <w:spacing w:before="240" w:after="0" w:line="360" w:lineRule="auto"/>
        <w:rPr>
          <w:rFonts w:ascii="Times New Roman" w:hAnsi="Times New Roman" w:cs="Times New Roman"/>
          <w:sz w:val="24"/>
          <w:szCs w:val="24"/>
        </w:rPr>
      </w:pPr>
    </w:p>
    <w:p w:rsidR="005E4FE0" w:rsidRPr="00396146" w:rsidRDefault="00725F2A"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r w:rsidRPr="00396146">
        <w:rPr>
          <w:rFonts w:ascii="Times New Roman" w:hAnsi="Times New Roman" w:cs="Times New Roman"/>
          <w:b/>
          <w:color w:val="365F91" w:themeColor="accent1" w:themeShade="BF"/>
          <w:sz w:val="24"/>
          <w:szCs w:val="24"/>
        </w:rPr>
        <w:fldChar w:fldCharType="begin"/>
      </w:r>
      <w:r w:rsidRPr="00396146">
        <w:rPr>
          <w:rFonts w:ascii="Times New Roman" w:hAnsi="Times New Roman" w:cs="Times New Roman"/>
          <w:b/>
          <w:color w:val="365F91" w:themeColor="accent1" w:themeShade="BF"/>
          <w:sz w:val="24"/>
          <w:szCs w:val="24"/>
        </w:rPr>
        <w:instrText xml:space="preserve"> TOC \o "1-3" \h \z \u </w:instrText>
      </w:r>
      <w:r w:rsidRPr="00396146">
        <w:rPr>
          <w:rFonts w:ascii="Times New Roman" w:hAnsi="Times New Roman" w:cs="Times New Roman"/>
          <w:b/>
          <w:color w:val="365F91" w:themeColor="accent1" w:themeShade="BF"/>
          <w:sz w:val="24"/>
          <w:szCs w:val="24"/>
        </w:rPr>
        <w:fldChar w:fldCharType="separate"/>
      </w:r>
      <w:hyperlink w:anchor="_Toc510702802" w:history="1">
        <w:r w:rsidR="005E4FE0" w:rsidRPr="00396146">
          <w:rPr>
            <w:rStyle w:val="Hyperlink"/>
            <w:rFonts w:ascii="Times New Roman" w:eastAsia="Times New Roman" w:hAnsi="Times New Roman" w:cs="Times New Roman"/>
            <w:noProof/>
            <w:sz w:val="24"/>
            <w:szCs w:val="24"/>
          </w:rPr>
          <w:t>1.</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Въведение</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_Toc510702802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5</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hyperlink w:anchor="_Toc510702803" w:history="1">
        <w:r w:rsidR="005E4FE0" w:rsidRPr="00396146">
          <w:rPr>
            <w:rStyle w:val="Hyperlink"/>
            <w:rFonts w:ascii="Times New Roman" w:eastAsia="Times New Roman" w:hAnsi="Times New Roman" w:cs="Times New Roman"/>
            <w:noProof/>
            <w:sz w:val="24"/>
            <w:szCs w:val="24"/>
          </w:rPr>
          <w:t>2.</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Методология</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_Toc510702803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7</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hyperlink w:anchor="_Toc510702804" w:history="1">
        <w:r w:rsidR="005E4FE0" w:rsidRPr="00396146">
          <w:rPr>
            <w:rStyle w:val="Hyperlink"/>
            <w:rFonts w:ascii="Times New Roman" w:eastAsia="Times New Roman" w:hAnsi="Times New Roman" w:cs="Times New Roman"/>
            <w:noProof/>
            <w:sz w:val="24"/>
            <w:szCs w:val="24"/>
          </w:rPr>
          <w:t>3.</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Оценка на първоначалните резултати от изпълнението на ОСР на област Ловеч за периода 2014-2016г.</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_Toc510702804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9</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hyperlink w:anchor="_Toc510702805" w:history="1">
        <w:r w:rsidR="005E4FE0" w:rsidRPr="00396146">
          <w:rPr>
            <w:rStyle w:val="Hyperlink"/>
            <w:rFonts w:ascii="Times New Roman" w:eastAsia="Times New Roman" w:hAnsi="Times New Roman" w:cs="Times New Roman"/>
            <w:noProof/>
            <w:sz w:val="24"/>
            <w:szCs w:val="24"/>
          </w:rPr>
          <w:t>4.</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Оценка на степента на постигане на целите на ОСР 2014-2020 г. на област Ловеч</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_Toc510702805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22</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hyperlink w:anchor="_Toc510702806" w:history="1">
        <w:r w:rsidR="005E4FE0" w:rsidRPr="00396146">
          <w:rPr>
            <w:rStyle w:val="Hyperlink"/>
            <w:rFonts w:ascii="Times New Roman" w:eastAsia="Times New Roman" w:hAnsi="Times New Roman" w:cs="Times New Roman"/>
            <w:noProof/>
            <w:sz w:val="24"/>
            <w:szCs w:val="24"/>
          </w:rPr>
          <w:t>5.</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Оценка на ефективността и ефикасността на използваните ресурси</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_Toc510702806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27</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right" w:leader="dot" w:pos="9629"/>
        </w:tabs>
        <w:spacing w:before="240"/>
        <w:rPr>
          <w:rFonts w:ascii="Times New Roman" w:eastAsiaTheme="minorEastAsia" w:hAnsi="Times New Roman" w:cs="Times New Roman"/>
          <w:noProof/>
          <w:sz w:val="24"/>
          <w:szCs w:val="24"/>
          <w:lang w:val="en-US"/>
        </w:rPr>
      </w:pPr>
      <w:hyperlink w:anchor="_Toc510702807" w:history="1">
        <w:r w:rsidR="005E4FE0" w:rsidRPr="00396146">
          <w:rPr>
            <w:rStyle w:val="Hyperlink"/>
            <w:rFonts w:ascii="Times New Roman" w:hAnsi="Times New Roman" w:cs="Times New Roman"/>
            <w:noProof/>
            <w:sz w:val="24"/>
            <w:szCs w:val="24"/>
          </w:rPr>
          <w:t>ПРИОРИТЕТ 1 Развитие и модернизация на инфраструктурата, създаваща условия за устойчиво развитие</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_Toc510702807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29</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right" w:leader="dot" w:pos="9629"/>
        </w:tabs>
        <w:spacing w:before="240"/>
        <w:rPr>
          <w:rFonts w:ascii="Times New Roman" w:eastAsiaTheme="minorEastAsia" w:hAnsi="Times New Roman" w:cs="Times New Roman"/>
          <w:noProof/>
          <w:sz w:val="24"/>
          <w:szCs w:val="24"/>
          <w:lang w:val="en-US"/>
        </w:rPr>
      </w:pPr>
      <w:hyperlink w:anchor="_Toc510702808" w:history="1">
        <w:r w:rsidR="005E4FE0" w:rsidRPr="00396146">
          <w:rPr>
            <w:rStyle w:val="Hyperlink"/>
            <w:rFonts w:ascii="Times New Roman" w:hAnsi="Times New Roman" w:cs="Times New Roman"/>
            <w:noProof/>
            <w:sz w:val="24"/>
            <w:szCs w:val="24"/>
          </w:rPr>
          <w:t>ПРИОРИТЕТ 2  Развитие на човешкия капитал и местните общности</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_Toc510702808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32</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right" w:leader="dot" w:pos="9629"/>
        </w:tabs>
        <w:spacing w:before="240"/>
        <w:rPr>
          <w:rFonts w:ascii="Times New Roman" w:eastAsiaTheme="minorEastAsia" w:hAnsi="Times New Roman" w:cs="Times New Roman"/>
          <w:noProof/>
          <w:sz w:val="24"/>
          <w:szCs w:val="24"/>
          <w:lang w:val="en-US"/>
        </w:rPr>
      </w:pPr>
      <w:hyperlink w:anchor="_Toc510702809" w:history="1">
        <w:r w:rsidR="005E4FE0" w:rsidRPr="00396146">
          <w:rPr>
            <w:rStyle w:val="Hyperlink"/>
            <w:rFonts w:ascii="Times New Roman" w:hAnsi="Times New Roman" w:cs="Times New Roman"/>
            <w:noProof/>
            <w:sz w:val="24"/>
            <w:szCs w:val="24"/>
            <w:lang w:val="ru-RU"/>
          </w:rPr>
          <w:t xml:space="preserve">ПРИОРИТЕТ 3  </w:t>
        </w:r>
        <w:r w:rsidR="005E4FE0" w:rsidRPr="00396146">
          <w:rPr>
            <w:rStyle w:val="Hyperlink"/>
            <w:rFonts w:ascii="Times New Roman" w:hAnsi="Times New Roman" w:cs="Times New Roman"/>
            <w:noProof/>
            <w:sz w:val="24"/>
            <w:szCs w:val="24"/>
          </w:rPr>
          <w:t>Повишаване</w:t>
        </w:r>
        <w:r w:rsidR="005E4FE0" w:rsidRPr="00396146">
          <w:rPr>
            <w:rStyle w:val="Hyperlink"/>
            <w:rFonts w:ascii="Times New Roman" w:hAnsi="Times New Roman" w:cs="Times New Roman"/>
            <w:noProof/>
            <w:sz w:val="24"/>
            <w:szCs w:val="24"/>
            <w:lang w:val="ru-RU"/>
          </w:rPr>
          <w:t xml:space="preserve"> на конкурентоспособн</w:t>
        </w:r>
        <w:r w:rsidR="005E4FE0" w:rsidRPr="00396146">
          <w:rPr>
            <w:rStyle w:val="Hyperlink"/>
            <w:rFonts w:ascii="Times New Roman" w:hAnsi="Times New Roman" w:cs="Times New Roman"/>
            <w:noProof/>
            <w:sz w:val="24"/>
            <w:szCs w:val="24"/>
          </w:rPr>
          <w:t>остта на местната</w:t>
        </w:r>
        <w:r w:rsidR="005E4FE0" w:rsidRPr="00396146">
          <w:rPr>
            <w:rStyle w:val="Hyperlink"/>
            <w:rFonts w:ascii="Times New Roman" w:hAnsi="Times New Roman" w:cs="Times New Roman"/>
            <w:noProof/>
            <w:sz w:val="24"/>
            <w:szCs w:val="24"/>
            <w:lang w:val="ru-RU"/>
          </w:rPr>
          <w:t xml:space="preserve"> икономика </w:t>
        </w:r>
        <w:r w:rsidR="005E4FE0" w:rsidRPr="00396146">
          <w:rPr>
            <w:rStyle w:val="Hyperlink"/>
            <w:rFonts w:ascii="Times New Roman" w:hAnsi="Times New Roman" w:cs="Times New Roman"/>
            <w:noProof/>
            <w:sz w:val="24"/>
            <w:szCs w:val="24"/>
          </w:rPr>
          <w:t xml:space="preserve">за </w:t>
        </w:r>
        <w:r w:rsidR="005E4FE0" w:rsidRPr="00396146">
          <w:rPr>
            <w:rStyle w:val="Hyperlink"/>
            <w:rFonts w:ascii="Times New Roman" w:hAnsi="Times New Roman" w:cs="Times New Roman"/>
            <w:noProof/>
            <w:sz w:val="24"/>
            <w:szCs w:val="24"/>
            <w:lang w:val="ru-RU"/>
          </w:rPr>
          <w:t>постигане на икономически растеж и заетост</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_Toc510702809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35</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right" w:leader="dot" w:pos="9629"/>
        </w:tabs>
        <w:spacing w:before="240"/>
        <w:rPr>
          <w:rFonts w:ascii="Times New Roman" w:eastAsiaTheme="minorEastAsia" w:hAnsi="Times New Roman" w:cs="Times New Roman"/>
          <w:noProof/>
          <w:sz w:val="24"/>
          <w:szCs w:val="24"/>
          <w:lang w:val="en-US"/>
        </w:rPr>
      </w:pPr>
      <w:hyperlink w:anchor="_Toc510702810" w:history="1">
        <w:r w:rsidR="005E4FE0" w:rsidRPr="00396146">
          <w:rPr>
            <w:rStyle w:val="Hyperlink"/>
            <w:rFonts w:ascii="Times New Roman" w:hAnsi="Times New Roman" w:cs="Times New Roman"/>
            <w:noProof/>
            <w:sz w:val="24"/>
            <w:szCs w:val="24"/>
            <w:lang w:val="ru-RU"/>
          </w:rPr>
          <w:t xml:space="preserve">ПРИОРИТЕТ </w:t>
        </w:r>
        <w:r w:rsidR="005E4FE0" w:rsidRPr="00396146">
          <w:rPr>
            <w:rStyle w:val="Hyperlink"/>
            <w:rFonts w:ascii="Times New Roman" w:hAnsi="Times New Roman" w:cs="Times New Roman"/>
            <w:noProof/>
            <w:sz w:val="24"/>
            <w:szCs w:val="24"/>
          </w:rPr>
          <w:t>4</w:t>
        </w:r>
        <w:r w:rsidR="005E4FE0" w:rsidRPr="00396146">
          <w:rPr>
            <w:rStyle w:val="Hyperlink"/>
            <w:rFonts w:ascii="Times New Roman" w:hAnsi="Times New Roman" w:cs="Times New Roman"/>
            <w:noProof/>
            <w:sz w:val="24"/>
            <w:szCs w:val="24"/>
            <w:lang w:val="ru-RU"/>
          </w:rPr>
          <w:t xml:space="preserve">  Устойчиво развитие на конкурентоспособно селско и горско стопанство</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_Toc510702810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38</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hyperlink w:anchor="_Toc510702811" w:history="1">
        <w:r w:rsidR="005E4FE0" w:rsidRPr="00396146">
          <w:rPr>
            <w:rStyle w:val="Hyperlink"/>
            <w:rFonts w:ascii="Times New Roman" w:eastAsia="Times New Roman" w:hAnsi="Times New Roman" w:cs="Times New Roman"/>
            <w:noProof/>
            <w:sz w:val="24"/>
            <w:szCs w:val="24"/>
          </w:rPr>
          <w:t>6.</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Оценка на координацията на ОСР 2014-2020 г. на област Ловеч</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_Toc510702811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41</w:t>
        </w:r>
        <w:r w:rsidR="005E4FE0" w:rsidRPr="00396146">
          <w:rPr>
            <w:rFonts w:ascii="Times New Roman" w:hAnsi="Times New Roman" w:cs="Times New Roman"/>
            <w:noProof/>
            <w:webHidden/>
            <w:sz w:val="24"/>
            <w:szCs w:val="24"/>
          </w:rPr>
          <w:fldChar w:fldCharType="end"/>
        </w:r>
      </w:hyperlink>
    </w:p>
    <w:p w:rsidR="005E4FE0" w:rsidRPr="00396146" w:rsidRDefault="0078426B" w:rsidP="00396146">
      <w:pPr>
        <w:pStyle w:val="TOC1"/>
        <w:tabs>
          <w:tab w:val="left" w:pos="440"/>
          <w:tab w:val="right" w:leader="dot" w:pos="9629"/>
        </w:tabs>
        <w:spacing w:before="240"/>
        <w:rPr>
          <w:rFonts w:ascii="Times New Roman" w:eastAsiaTheme="minorEastAsia" w:hAnsi="Times New Roman" w:cs="Times New Roman"/>
          <w:noProof/>
          <w:sz w:val="24"/>
          <w:szCs w:val="24"/>
          <w:lang w:val="en-US"/>
        </w:rPr>
      </w:pPr>
      <w:hyperlink w:anchor="_Toc510702812" w:history="1">
        <w:r w:rsidR="005E4FE0" w:rsidRPr="00396146">
          <w:rPr>
            <w:rStyle w:val="Hyperlink"/>
            <w:rFonts w:ascii="Times New Roman" w:eastAsia="Times New Roman" w:hAnsi="Times New Roman" w:cs="Times New Roman"/>
            <w:noProof/>
            <w:sz w:val="24"/>
            <w:szCs w:val="24"/>
          </w:rPr>
          <w:t>7.</w:t>
        </w:r>
        <w:r w:rsidR="005E4FE0" w:rsidRPr="00396146">
          <w:rPr>
            <w:rFonts w:ascii="Times New Roman" w:eastAsiaTheme="minorEastAsia" w:hAnsi="Times New Roman" w:cs="Times New Roman"/>
            <w:noProof/>
            <w:sz w:val="24"/>
            <w:szCs w:val="24"/>
            <w:lang w:val="en-US"/>
          </w:rPr>
          <w:tab/>
        </w:r>
        <w:r w:rsidR="005E4FE0" w:rsidRPr="00396146">
          <w:rPr>
            <w:rStyle w:val="Hyperlink"/>
            <w:rFonts w:ascii="Times New Roman" w:eastAsia="Times New Roman" w:hAnsi="Times New Roman" w:cs="Times New Roman"/>
            <w:noProof/>
            <w:sz w:val="24"/>
            <w:szCs w:val="24"/>
          </w:rPr>
          <w:t>Изводи и препоръки</w:t>
        </w:r>
        <w:r w:rsidR="005E4FE0" w:rsidRPr="00396146">
          <w:rPr>
            <w:rFonts w:ascii="Times New Roman" w:hAnsi="Times New Roman" w:cs="Times New Roman"/>
            <w:noProof/>
            <w:webHidden/>
            <w:sz w:val="24"/>
            <w:szCs w:val="24"/>
          </w:rPr>
          <w:tab/>
        </w:r>
        <w:r w:rsidR="005E4FE0" w:rsidRPr="00396146">
          <w:rPr>
            <w:rFonts w:ascii="Times New Roman" w:hAnsi="Times New Roman" w:cs="Times New Roman"/>
            <w:noProof/>
            <w:webHidden/>
            <w:sz w:val="24"/>
            <w:szCs w:val="24"/>
          </w:rPr>
          <w:fldChar w:fldCharType="begin"/>
        </w:r>
        <w:r w:rsidR="005E4FE0" w:rsidRPr="00396146">
          <w:rPr>
            <w:rFonts w:ascii="Times New Roman" w:hAnsi="Times New Roman" w:cs="Times New Roman"/>
            <w:noProof/>
            <w:webHidden/>
            <w:sz w:val="24"/>
            <w:szCs w:val="24"/>
          </w:rPr>
          <w:instrText xml:space="preserve"> PAGEREF _Toc510702812 \h </w:instrText>
        </w:r>
        <w:r w:rsidR="005E4FE0" w:rsidRPr="00396146">
          <w:rPr>
            <w:rFonts w:ascii="Times New Roman" w:hAnsi="Times New Roman" w:cs="Times New Roman"/>
            <w:noProof/>
            <w:webHidden/>
            <w:sz w:val="24"/>
            <w:szCs w:val="24"/>
          </w:rPr>
        </w:r>
        <w:r w:rsidR="005E4FE0" w:rsidRPr="00396146">
          <w:rPr>
            <w:rFonts w:ascii="Times New Roman" w:hAnsi="Times New Roman" w:cs="Times New Roman"/>
            <w:noProof/>
            <w:webHidden/>
            <w:sz w:val="24"/>
            <w:szCs w:val="24"/>
          </w:rPr>
          <w:fldChar w:fldCharType="separate"/>
        </w:r>
        <w:r w:rsidR="005E4FE0" w:rsidRPr="00396146">
          <w:rPr>
            <w:rFonts w:ascii="Times New Roman" w:hAnsi="Times New Roman" w:cs="Times New Roman"/>
            <w:noProof/>
            <w:webHidden/>
            <w:sz w:val="24"/>
            <w:szCs w:val="24"/>
          </w:rPr>
          <w:t>43</w:t>
        </w:r>
        <w:r w:rsidR="005E4FE0" w:rsidRPr="00396146">
          <w:rPr>
            <w:rFonts w:ascii="Times New Roman" w:hAnsi="Times New Roman" w:cs="Times New Roman"/>
            <w:noProof/>
            <w:webHidden/>
            <w:sz w:val="24"/>
            <w:szCs w:val="24"/>
          </w:rPr>
          <w:fldChar w:fldCharType="end"/>
        </w:r>
      </w:hyperlink>
    </w:p>
    <w:p w:rsidR="00747A4A" w:rsidRPr="00396146" w:rsidRDefault="00725F2A" w:rsidP="00396146">
      <w:pPr>
        <w:spacing w:before="240" w:after="120" w:line="240" w:lineRule="auto"/>
        <w:rPr>
          <w:rFonts w:ascii="Times New Roman" w:hAnsi="Times New Roman" w:cs="Times New Roman"/>
          <w:sz w:val="24"/>
          <w:szCs w:val="24"/>
        </w:rPr>
      </w:pPr>
      <w:r w:rsidRPr="00396146">
        <w:rPr>
          <w:rFonts w:ascii="Times New Roman" w:hAnsi="Times New Roman" w:cs="Times New Roman"/>
          <w:b/>
          <w:color w:val="365F91" w:themeColor="accent1" w:themeShade="BF"/>
          <w:sz w:val="24"/>
          <w:szCs w:val="24"/>
        </w:rPr>
        <w:fldChar w:fldCharType="end"/>
      </w:r>
    </w:p>
    <w:p w:rsidR="00747A4A" w:rsidRPr="00747A4A" w:rsidRDefault="00747A4A" w:rsidP="00747A4A">
      <w:pPr>
        <w:spacing w:after="0" w:line="360" w:lineRule="auto"/>
        <w:rPr>
          <w:rFonts w:ascii="Times New Roman" w:hAnsi="Times New Roman" w:cs="Times New Roman"/>
          <w:sz w:val="24"/>
          <w:szCs w:val="24"/>
        </w:rPr>
      </w:pPr>
    </w:p>
    <w:p w:rsidR="00747A4A" w:rsidRPr="00747A4A" w:rsidRDefault="00747A4A" w:rsidP="00747A4A">
      <w:pPr>
        <w:spacing w:after="0" w:line="360" w:lineRule="auto"/>
        <w:rPr>
          <w:rFonts w:ascii="Times New Roman" w:hAnsi="Times New Roman" w:cs="Times New Roman"/>
          <w:sz w:val="24"/>
          <w:szCs w:val="24"/>
        </w:rPr>
      </w:pPr>
    </w:p>
    <w:p w:rsidR="005E4FE0" w:rsidRDefault="005E4FE0">
      <w:pPr>
        <w:rPr>
          <w:rFonts w:ascii="Times New Roman" w:hAnsi="Times New Roman" w:cs="Times New Roman"/>
          <w:b/>
          <w:i/>
          <w:color w:val="365F91" w:themeColor="accent1" w:themeShade="BF"/>
          <w:sz w:val="24"/>
          <w:szCs w:val="24"/>
        </w:rPr>
      </w:pPr>
      <w:r>
        <w:rPr>
          <w:rFonts w:ascii="Times New Roman" w:hAnsi="Times New Roman" w:cs="Times New Roman"/>
          <w:b/>
          <w:i/>
          <w:color w:val="365F91" w:themeColor="accent1" w:themeShade="BF"/>
          <w:sz w:val="24"/>
          <w:szCs w:val="24"/>
        </w:rPr>
        <w:br w:type="page"/>
      </w:r>
    </w:p>
    <w:p w:rsidR="00747A4A" w:rsidRPr="00396146" w:rsidRDefault="005E4FE0" w:rsidP="00747A4A">
      <w:pPr>
        <w:spacing w:after="0" w:line="360" w:lineRule="auto"/>
        <w:rPr>
          <w:rFonts w:ascii="Times New Roman" w:hAnsi="Times New Roman" w:cs="Times New Roman"/>
          <w:b/>
          <w:sz w:val="24"/>
          <w:szCs w:val="24"/>
        </w:rPr>
      </w:pPr>
      <w:r w:rsidRPr="00396146">
        <w:rPr>
          <w:rFonts w:ascii="Times New Roman" w:hAnsi="Times New Roman" w:cs="Times New Roman"/>
          <w:b/>
          <w:sz w:val="24"/>
          <w:szCs w:val="24"/>
        </w:rPr>
        <w:lastRenderedPageBreak/>
        <w:t>Списък с фигури:</w:t>
      </w:r>
    </w:p>
    <w:p w:rsidR="005E4FE0" w:rsidRPr="005E4FE0" w:rsidRDefault="005E4FE0" w:rsidP="00396146">
      <w:pPr>
        <w:pStyle w:val="TableofFigures"/>
        <w:tabs>
          <w:tab w:val="right" w:leader="dot" w:pos="9629"/>
        </w:tabs>
        <w:spacing w:line="360" w:lineRule="auto"/>
        <w:rPr>
          <w:rFonts w:ascii="Times New Roman" w:hAnsi="Times New Roman" w:cs="Times New Roman"/>
          <w:noProof/>
        </w:rPr>
      </w:pPr>
      <w:r w:rsidRPr="005E4FE0">
        <w:rPr>
          <w:rFonts w:ascii="Times New Roman" w:hAnsi="Times New Roman" w:cs="Times New Roman"/>
          <w:sz w:val="24"/>
          <w:szCs w:val="24"/>
        </w:rPr>
        <w:fldChar w:fldCharType="begin"/>
      </w:r>
      <w:r w:rsidRPr="005E4FE0">
        <w:rPr>
          <w:rFonts w:ascii="Times New Roman" w:hAnsi="Times New Roman" w:cs="Times New Roman"/>
          <w:sz w:val="24"/>
          <w:szCs w:val="24"/>
        </w:rPr>
        <w:instrText xml:space="preserve"> TOC \h \z \c "Фигура" </w:instrText>
      </w:r>
      <w:r w:rsidRPr="005E4FE0">
        <w:rPr>
          <w:rFonts w:ascii="Times New Roman" w:hAnsi="Times New Roman" w:cs="Times New Roman"/>
          <w:sz w:val="24"/>
          <w:szCs w:val="24"/>
        </w:rPr>
        <w:fldChar w:fldCharType="separate"/>
      </w:r>
      <w:hyperlink w:anchor="_Toc510702847" w:history="1">
        <w:r w:rsidRPr="005E4FE0">
          <w:rPr>
            <w:rStyle w:val="Hyperlink"/>
            <w:rFonts w:ascii="Times New Roman" w:hAnsi="Times New Roman" w:cs="Times New Roman"/>
            <w:i/>
            <w:noProof/>
          </w:rPr>
          <w:t>Фигура 1 Естествено движение на населението, Източник: НСИ</w:t>
        </w:r>
        <w:r w:rsidRPr="005E4FE0">
          <w:rPr>
            <w:rFonts w:ascii="Times New Roman" w:hAnsi="Times New Roman" w:cs="Times New Roman"/>
            <w:noProof/>
            <w:webHidden/>
          </w:rPr>
          <w:tab/>
        </w:r>
        <w:r w:rsidRPr="005E4FE0">
          <w:rPr>
            <w:rFonts w:ascii="Times New Roman" w:hAnsi="Times New Roman" w:cs="Times New Roman"/>
            <w:noProof/>
            <w:webHidden/>
          </w:rPr>
          <w:fldChar w:fldCharType="begin"/>
        </w:r>
        <w:r w:rsidRPr="005E4FE0">
          <w:rPr>
            <w:rFonts w:ascii="Times New Roman" w:hAnsi="Times New Roman" w:cs="Times New Roman"/>
            <w:noProof/>
            <w:webHidden/>
          </w:rPr>
          <w:instrText xml:space="preserve"> PAGEREF _Toc510702847 \h </w:instrText>
        </w:r>
        <w:r w:rsidRPr="005E4FE0">
          <w:rPr>
            <w:rFonts w:ascii="Times New Roman" w:hAnsi="Times New Roman" w:cs="Times New Roman"/>
            <w:noProof/>
            <w:webHidden/>
          </w:rPr>
        </w:r>
        <w:r w:rsidRPr="005E4FE0">
          <w:rPr>
            <w:rFonts w:ascii="Times New Roman" w:hAnsi="Times New Roman" w:cs="Times New Roman"/>
            <w:noProof/>
            <w:webHidden/>
          </w:rPr>
          <w:fldChar w:fldCharType="separate"/>
        </w:r>
        <w:r w:rsidRPr="005E4FE0">
          <w:rPr>
            <w:rFonts w:ascii="Times New Roman" w:hAnsi="Times New Roman" w:cs="Times New Roman"/>
            <w:noProof/>
            <w:webHidden/>
          </w:rPr>
          <w:t>10</w:t>
        </w:r>
        <w:r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48" w:history="1">
        <w:r w:rsidR="005E4FE0" w:rsidRPr="005E4FE0">
          <w:rPr>
            <w:rStyle w:val="Hyperlink"/>
            <w:rFonts w:ascii="Times New Roman" w:hAnsi="Times New Roman" w:cs="Times New Roman"/>
            <w:i/>
            <w:noProof/>
          </w:rPr>
          <w:t>Фигура 2 Механично движение на населението, Източник: НСИ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_Toc510702848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11</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49" w:history="1">
        <w:r w:rsidR="005E4FE0" w:rsidRPr="005E4FE0">
          <w:rPr>
            <w:rStyle w:val="Hyperlink"/>
            <w:rFonts w:ascii="Times New Roman" w:hAnsi="Times New Roman" w:cs="Times New Roman"/>
            <w:i/>
            <w:noProof/>
          </w:rPr>
          <w:t>Фигура 3 Изменение на доходите и средната годишна заплата, Източник: НСИ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_Toc510702849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11</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0" w:history="1">
        <w:r w:rsidR="005E4FE0" w:rsidRPr="005E4FE0">
          <w:rPr>
            <w:rStyle w:val="Hyperlink"/>
            <w:rFonts w:ascii="Times New Roman" w:hAnsi="Times New Roman" w:cs="Times New Roman"/>
            <w:i/>
            <w:noProof/>
          </w:rPr>
          <w:t>Фигура 4 Трудова заетост и безработица, Източник: Регионални профили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_Toc510702850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12</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1" w:history="1">
        <w:r w:rsidR="005E4FE0" w:rsidRPr="005E4FE0">
          <w:rPr>
            <w:rStyle w:val="Hyperlink"/>
            <w:rFonts w:ascii="Times New Roman" w:hAnsi="Times New Roman" w:cs="Times New Roman"/>
            <w:i/>
            <w:noProof/>
          </w:rPr>
          <w:t>Фигура 5 Заетост по сектори, Източник: НСИ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_Toc510702851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13</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2" w:history="1">
        <w:r w:rsidR="005E4FE0" w:rsidRPr="005E4FE0">
          <w:rPr>
            <w:rStyle w:val="Hyperlink"/>
            <w:rFonts w:ascii="Times New Roman" w:hAnsi="Times New Roman" w:cs="Times New Roman"/>
            <w:i/>
            <w:noProof/>
          </w:rPr>
          <w:t>Фигура 6 БДС по икономически сектори, млн. лв. Източник: НСИ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_Toc510702852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13</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3" w:history="1">
        <w:r w:rsidR="005E4FE0" w:rsidRPr="005E4FE0">
          <w:rPr>
            <w:rStyle w:val="Hyperlink"/>
            <w:rFonts w:ascii="Times New Roman" w:hAnsi="Times New Roman" w:cs="Times New Roman"/>
            <w:i/>
            <w:noProof/>
          </w:rPr>
          <w:t>Фигура 7 Баланс на земеделската земя; Източник: ОДЗ “Земеделие” гр. Ловеч</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_Toc510702853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15</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4" w:history="1">
        <w:r w:rsidR="005E4FE0" w:rsidRPr="005E4FE0">
          <w:rPr>
            <w:rStyle w:val="Hyperlink"/>
            <w:rFonts w:ascii="Times New Roman" w:hAnsi="Times New Roman" w:cs="Times New Roman"/>
            <w:i/>
            <w:noProof/>
          </w:rPr>
          <w:t>Фигура 8  Брой животни по видове; Източник: ОДЗ “Земеделие” гр. Ловеч</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_Toc510702854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15</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5" w:history="1">
        <w:r w:rsidR="005E4FE0" w:rsidRPr="005E4FE0">
          <w:rPr>
            <w:rStyle w:val="Hyperlink"/>
            <w:rFonts w:ascii="Times New Roman" w:hAnsi="Times New Roman" w:cs="Times New Roman"/>
            <w:i/>
            <w:noProof/>
          </w:rPr>
          <w:t>Фигура 9 Дълготрайни материални активи с екологично предназначение; Източник: НСИ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_Toc510702855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17</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6" w:history="1">
        <w:r w:rsidR="005E4FE0" w:rsidRPr="005E4FE0">
          <w:rPr>
            <w:rStyle w:val="Hyperlink"/>
            <w:rFonts w:ascii="Times New Roman" w:hAnsi="Times New Roman" w:cs="Times New Roman"/>
            <w:i/>
            <w:noProof/>
          </w:rPr>
          <w:t>Фигура 10 Средногодишен брой посещения на 1000 души: Източник: НСИ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_Toc510702856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19</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7" w:history="1">
        <w:r w:rsidR="005E4FE0" w:rsidRPr="005E4FE0">
          <w:rPr>
            <w:rStyle w:val="Hyperlink"/>
            <w:rFonts w:ascii="Times New Roman" w:hAnsi="Times New Roman" w:cs="Times New Roman"/>
            <w:i/>
            <w:noProof/>
          </w:rPr>
          <w:t>Фигура 11 Разпределение на финансовите ресурси по приоритети към 2017 г.</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_Toc510702857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29</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8" w:history="1">
        <w:r w:rsidR="005E4FE0" w:rsidRPr="005E4FE0">
          <w:rPr>
            <w:rStyle w:val="Hyperlink"/>
            <w:rFonts w:ascii="Times New Roman" w:hAnsi="Times New Roman" w:cs="Times New Roman"/>
            <w:i/>
            <w:noProof/>
          </w:rPr>
          <w:t>Фигура 12 Приоритет 1: Разпределение на финансови ресурси по общини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_Toc510702858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30</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59" w:history="1">
        <w:r w:rsidR="005E4FE0" w:rsidRPr="005E4FE0">
          <w:rPr>
            <w:rStyle w:val="Hyperlink"/>
            <w:rFonts w:ascii="Times New Roman" w:hAnsi="Times New Roman" w:cs="Times New Roman"/>
            <w:i/>
            <w:noProof/>
          </w:rPr>
          <w:t>Фигура 13 Приоритет 1 Разпределение на финансовите ресурси по години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_Toc510702859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31</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0" w:history="1">
        <w:r w:rsidR="005E4FE0" w:rsidRPr="005E4FE0">
          <w:rPr>
            <w:rStyle w:val="Hyperlink"/>
            <w:rFonts w:ascii="Times New Roman" w:hAnsi="Times New Roman" w:cs="Times New Roman"/>
            <w:i/>
            <w:noProof/>
          </w:rPr>
          <w:t>Фигура 14 Приоритет 1: Разпределение на финансовите ресурси по източник</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_Toc510702860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32</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1" w:history="1">
        <w:r w:rsidR="005E4FE0" w:rsidRPr="005E4FE0">
          <w:rPr>
            <w:rStyle w:val="Hyperlink"/>
            <w:rFonts w:ascii="Times New Roman" w:hAnsi="Times New Roman" w:cs="Times New Roman"/>
            <w:i/>
            <w:noProof/>
          </w:rPr>
          <w:t>Фигура 15 Приоритет 2: Разпределение на финансови ресурси по общини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_Toc510702861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33</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2" w:history="1">
        <w:r w:rsidR="005E4FE0" w:rsidRPr="005E4FE0">
          <w:rPr>
            <w:rStyle w:val="Hyperlink"/>
            <w:rFonts w:ascii="Times New Roman" w:hAnsi="Times New Roman" w:cs="Times New Roman"/>
            <w:i/>
            <w:noProof/>
          </w:rPr>
          <w:t>Фигура 16 Приоритет 2 Разпределение на финансовите ресурси по години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_Toc510702862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34</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3" w:history="1">
        <w:r w:rsidR="005E4FE0" w:rsidRPr="005E4FE0">
          <w:rPr>
            <w:rStyle w:val="Hyperlink"/>
            <w:rFonts w:ascii="Times New Roman" w:hAnsi="Times New Roman" w:cs="Times New Roman"/>
            <w:i/>
            <w:noProof/>
          </w:rPr>
          <w:t>Фигура 17 Приоритет 2: Разпределение на финансовите ресурси по източник</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_Toc510702863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35</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4" w:history="1">
        <w:r w:rsidR="005E4FE0" w:rsidRPr="005E4FE0">
          <w:rPr>
            <w:rStyle w:val="Hyperlink"/>
            <w:rFonts w:ascii="Times New Roman" w:hAnsi="Times New Roman" w:cs="Times New Roman"/>
            <w:i/>
            <w:noProof/>
          </w:rPr>
          <w:t>Фигура 18 Приоритет 3: Разпределение на финансови ресурси по общини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_Toc510702864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36</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5" w:history="1">
        <w:r w:rsidR="005E4FE0" w:rsidRPr="005E4FE0">
          <w:rPr>
            <w:rStyle w:val="Hyperlink"/>
            <w:rFonts w:ascii="Times New Roman" w:hAnsi="Times New Roman" w:cs="Times New Roman"/>
            <w:i/>
            <w:noProof/>
          </w:rPr>
          <w:t>Фигура 19 Приоритет 3 Разпределение на финансовите ресурси по години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_Toc510702865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37</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6" w:history="1">
        <w:r w:rsidR="005E4FE0" w:rsidRPr="005E4FE0">
          <w:rPr>
            <w:rStyle w:val="Hyperlink"/>
            <w:rFonts w:ascii="Times New Roman" w:hAnsi="Times New Roman" w:cs="Times New Roman"/>
            <w:i/>
            <w:noProof/>
          </w:rPr>
          <w:t>Фигура 20 Приоритет 3: Разпределение на финансовите ресурси по източник</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_Toc510702866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38</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7" w:history="1">
        <w:r w:rsidR="005E4FE0" w:rsidRPr="005E4FE0">
          <w:rPr>
            <w:rStyle w:val="Hyperlink"/>
            <w:rFonts w:ascii="Times New Roman" w:hAnsi="Times New Roman" w:cs="Times New Roman"/>
            <w:i/>
            <w:noProof/>
          </w:rPr>
          <w:t>Фигура 21 Приоритет 4: Разпределение на финансови ресурси по общини</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_Toc510702867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39</w:t>
        </w:r>
        <w:r w:rsidR="005E4FE0"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hAnsi="Times New Roman" w:cs="Times New Roman"/>
          <w:noProof/>
        </w:rPr>
      </w:pPr>
      <w:hyperlink w:anchor="_Toc510702868" w:history="1">
        <w:r w:rsidR="005E4FE0" w:rsidRPr="005E4FE0">
          <w:rPr>
            <w:rStyle w:val="Hyperlink"/>
            <w:rFonts w:ascii="Times New Roman" w:hAnsi="Times New Roman" w:cs="Times New Roman"/>
            <w:i/>
            <w:noProof/>
          </w:rPr>
          <w:t>Фигура 22 Индикативни бюджети по сключени проекти от ИСУН 2014-2020</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_Toc510702868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sidRPr="005E4FE0">
          <w:rPr>
            <w:rFonts w:ascii="Times New Roman" w:hAnsi="Times New Roman" w:cs="Times New Roman"/>
            <w:noProof/>
            <w:webHidden/>
          </w:rPr>
          <w:t>40</w:t>
        </w:r>
        <w:r w:rsidR="005E4FE0" w:rsidRPr="005E4FE0">
          <w:rPr>
            <w:rFonts w:ascii="Times New Roman" w:hAnsi="Times New Roman" w:cs="Times New Roman"/>
            <w:noProof/>
            <w:webHidden/>
          </w:rPr>
          <w:fldChar w:fldCharType="end"/>
        </w:r>
      </w:hyperlink>
    </w:p>
    <w:p w:rsidR="005E4FE0" w:rsidRDefault="005E4FE0" w:rsidP="00396146">
      <w:pPr>
        <w:spacing w:after="0" w:line="360" w:lineRule="auto"/>
        <w:rPr>
          <w:rFonts w:ascii="Times New Roman" w:hAnsi="Times New Roman" w:cs="Times New Roman"/>
          <w:sz w:val="24"/>
          <w:szCs w:val="24"/>
        </w:rPr>
      </w:pPr>
      <w:r w:rsidRPr="005E4FE0">
        <w:rPr>
          <w:rFonts w:ascii="Times New Roman" w:hAnsi="Times New Roman" w:cs="Times New Roman"/>
          <w:sz w:val="24"/>
          <w:szCs w:val="24"/>
        </w:rPr>
        <w:fldChar w:fldCharType="end"/>
      </w:r>
    </w:p>
    <w:p w:rsidR="005E4FE0" w:rsidRPr="00396146" w:rsidRDefault="005E4FE0" w:rsidP="00396146">
      <w:pPr>
        <w:pStyle w:val="TableofFigures"/>
        <w:tabs>
          <w:tab w:val="right" w:leader="dot" w:pos="9629"/>
        </w:tabs>
        <w:spacing w:line="360" w:lineRule="auto"/>
        <w:rPr>
          <w:rFonts w:ascii="Times New Roman" w:hAnsi="Times New Roman" w:cs="Times New Roman"/>
          <w:b/>
          <w:sz w:val="24"/>
          <w:szCs w:val="24"/>
        </w:rPr>
      </w:pPr>
      <w:r w:rsidRPr="00396146">
        <w:rPr>
          <w:rFonts w:ascii="Times New Roman" w:hAnsi="Times New Roman" w:cs="Times New Roman"/>
          <w:b/>
          <w:sz w:val="24"/>
          <w:szCs w:val="24"/>
        </w:rPr>
        <w:t>Списък с таблици:</w:t>
      </w:r>
    </w:p>
    <w:p w:rsidR="005E4FE0" w:rsidRPr="005E4FE0" w:rsidRDefault="005E4FE0" w:rsidP="00396146">
      <w:pPr>
        <w:pStyle w:val="TableofFigures"/>
        <w:tabs>
          <w:tab w:val="right" w:leader="dot" w:pos="9629"/>
        </w:tabs>
        <w:spacing w:line="360" w:lineRule="auto"/>
        <w:rPr>
          <w:rFonts w:ascii="Times New Roman" w:eastAsiaTheme="minorEastAsia" w:hAnsi="Times New Roman" w:cs="Times New Roman"/>
          <w:noProof/>
          <w:lang w:val="en-US"/>
        </w:rPr>
      </w:pPr>
      <w:r w:rsidRPr="005E4FE0">
        <w:rPr>
          <w:rFonts w:ascii="Times New Roman" w:hAnsi="Times New Roman" w:cs="Times New Roman"/>
          <w:sz w:val="24"/>
          <w:szCs w:val="24"/>
        </w:rPr>
        <w:fldChar w:fldCharType="begin"/>
      </w:r>
      <w:r w:rsidRPr="005E4FE0">
        <w:rPr>
          <w:rFonts w:ascii="Times New Roman" w:hAnsi="Times New Roman" w:cs="Times New Roman"/>
          <w:sz w:val="24"/>
          <w:szCs w:val="24"/>
        </w:rPr>
        <w:instrText xml:space="preserve"> TOC \h \z \c "Таблица" </w:instrText>
      </w:r>
      <w:r w:rsidRPr="005E4FE0">
        <w:rPr>
          <w:rFonts w:ascii="Times New Roman" w:hAnsi="Times New Roman" w:cs="Times New Roman"/>
          <w:sz w:val="24"/>
          <w:szCs w:val="24"/>
        </w:rPr>
        <w:fldChar w:fldCharType="separate"/>
      </w:r>
      <w:hyperlink w:anchor="_Toc510702995" w:history="1">
        <w:r w:rsidRPr="005E4FE0">
          <w:rPr>
            <w:rStyle w:val="Hyperlink"/>
            <w:rFonts w:ascii="Times New Roman" w:hAnsi="Times New Roman" w:cs="Times New Roman"/>
            <w:i/>
            <w:noProof/>
          </w:rPr>
          <w:t>Таблица 1  Динамика на инвестициите; Източник: НСИ</w:t>
        </w:r>
        <w:r w:rsidRPr="005E4FE0">
          <w:rPr>
            <w:rFonts w:ascii="Times New Roman" w:hAnsi="Times New Roman" w:cs="Times New Roman"/>
            <w:noProof/>
            <w:webHidden/>
          </w:rPr>
          <w:tab/>
        </w:r>
        <w:r w:rsidRPr="005E4FE0">
          <w:rPr>
            <w:rFonts w:ascii="Times New Roman" w:hAnsi="Times New Roman" w:cs="Times New Roman"/>
            <w:noProof/>
            <w:webHidden/>
          </w:rPr>
          <w:fldChar w:fldCharType="begin"/>
        </w:r>
        <w:r w:rsidRPr="005E4FE0">
          <w:rPr>
            <w:rFonts w:ascii="Times New Roman" w:hAnsi="Times New Roman" w:cs="Times New Roman"/>
            <w:noProof/>
            <w:webHidden/>
          </w:rPr>
          <w:instrText xml:space="preserve"> PAGEREF _Toc510702995 \h </w:instrText>
        </w:r>
        <w:r w:rsidRPr="005E4FE0">
          <w:rPr>
            <w:rFonts w:ascii="Times New Roman" w:hAnsi="Times New Roman" w:cs="Times New Roman"/>
            <w:noProof/>
            <w:webHidden/>
          </w:rPr>
        </w:r>
        <w:r w:rsidRPr="005E4FE0">
          <w:rPr>
            <w:rFonts w:ascii="Times New Roman" w:hAnsi="Times New Roman" w:cs="Times New Roman"/>
            <w:noProof/>
            <w:webHidden/>
          </w:rPr>
          <w:fldChar w:fldCharType="separate"/>
        </w:r>
        <w:r>
          <w:rPr>
            <w:rFonts w:ascii="Times New Roman" w:hAnsi="Times New Roman" w:cs="Times New Roman"/>
            <w:noProof/>
            <w:webHidden/>
          </w:rPr>
          <w:t>14</w:t>
        </w:r>
        <w:r w:rsidRPr="005E4FE0">
          <w:rPr>
            <w:rFonts w:ascii="Times New Roman" w:hAnsi="Times New Roman" w:cs="Times New Roman"/>
            <w:noProof/>
            <w:webHidden/>
          </w:rPr>
          <w:fldChar w:fldCharType="end"/>
        </w:r>
      </w:hyperlink>
    </w:p>
    <w:p w:rsidR="005E4FE0" w:rsidRPr="005E4FE0" w:rsidRDefault="0078426B" w:rsidP="00396146">
      <w:pPr>
        <w:pStyle w:val="TableofFigures"/>
        <w:tabs>
          <w:tab w:val="right" w:leader="dot" w:pos="9629"/>
        </w:tabs>
        <w:spacing w:line="360" w:lineRule="auto"/>
        <w:rPr>
          <w:rFonts w:ascii="Times New Roman" w:eastAsiaTheme="minorEastAsia" w:hAnsi="Times New Roman" w:cs="Times New Roman"/>
          <w:noProof/>
          <w:lang w:val="en-US"/>
        </w:rPr>
      </w:pPr>
      <w:hyperlink w:anchor="_Toc510702996" w:history="1">
        <w:r w:rsidR="005E4FE0" w:rsidRPr="005E4FE0">
          <w:rPr>
            <w:rStyle w:val="Hyperlink"/>
            <w:rFonts w:ascii="Times New Roman" w:hAnsi="Times New Roman" w:cs="Times New Roman"/>
            <w:i/>
            <w:noProof/>
          </w:rPr>
          <w:t>Таблица 2 Степен на изпълнение на мерките за развитие, заложени в ОСР</w:t>
        </w:r>
        <w:r w:rsidR="005E4FE0" w:rsidRPr="005E4FE0">
          <w:rPr>
            <w:rFonts w:ascii="Times New Roman" w:hAnsi="Times New Roman" w:cs="Times New Roman"/>
            <w:noProof/>
            <w:webHidden/>
          </w:rPr>
          <w:tab/>
        </w:r>
        <w:r w:rsidR="005E4FE0" w:rsidRPr="005E4FE0">
          <w:rPr>
            <w:rFonts w:ascii="Times New Roman" w:hAnsi="Times New Roman" w:cs="Times New Roman"/>
            <w:noProof/>
            <w:webHidden/>
          </w:rPr>
          <w:fldChar w:fldCharType="begin"/>
        </w:r>
        <w:r w:rsidR="005E4FE0" w:rsidRPr="005E4FE0">
          <w:rPr>
            <w:rFonts w:ascii="Times New Roman" w:hAnsi="Times New Roman" w:cs="Times New Roman"/>
            <w:noProof/>
            <w:webHidden/>
          </w:rPr>
          <w:instrText xml:space="preserve"> PAGEREF _Toc510702996 \h </w:instrText>
        </w:r>
        <w:r w:rsidR="005E4FE0" w:rsidRPr="005E4FE0">
          <w:rPr>
            <w:rFonts w:ascii="Times New Roman" w:hAnsi="Times New Roman" w:cs="Times New Roman"/>
            <w:noProof/>
            <w:webHidden/>
          </w:rPr>
        </w:r>
        <w:r w:rsidR="005E4FE0" w:rsidRPr="005E4FE0">
          <w:rPr>
            <w:rFonts w:ascii="Times New Roman" w:hAnsi="Times New Roman" w:cs="Times New Roman"/>
            <w:noProof/>
            <w:webHidden/>
          </w:rPr>
          <w:fldChar w:fldCharType="separate"/>
        </w:r>
        <w:r w:rsidR="005E4FE0">
          <w:rPr>
            <w:rFonts w:ascii="Times New Roman" w:hAnsi="Times New Roman" w:cs="Times New Roman"/>
            <w:noProof/>
            <w:webHidden/>
          </w:rPr>
          <w:t>24</w:t>
        </w:r>
        <w:r w:rsidR="005E4FE0" w:rsidRPr="005E4FE0">
          <w:rPr>
            <w:rFonts w:ascii="Times New Roman" w:hAnsi="Times New Roman" w:cs="Times New Roman"/>
            <w:noProof/>
            <w:webHidden/>
          </w:rPr>
          <w:fldChar w:fldCharType="end"/>
        </w:r>
      </w:hyperlink>
    </w:p>
    <w:p w:rsidR="00747A4A" w:rsidRDefault="005E4FE0" w:rsidP="00396146">
      <w:pPr>
        <w:spacing w:after="0" w:line="360" w:lineRule="auto"/>
        <w:rPr>
          <w:rFonts w:ascii="Times New Roman" w:hAnsi="Times New Roman" w:cs="Times New Roman"/>
          <w:sz w:val="24"/>
          <w:szCs w:val="24"/>
        </w:rPr>
      </w:pPr>
      <w:r w:rsidRPr="005E4FE0">
        <w:rPr>
          <w:rFonts w:ascii="Times New Roman" w:hAnsi="Times New Roman" w:cs="Times New Roman"/>
          <w:sz w:val="24"/>
          <w:szCs w:val="24"/>
        </w:rPr>
        <w:fldChar w:fldCharType="end"/>
      </w:r>
      <w:r w:rsidR="00747A4A" w:rsidRPr="00747A4A">
        <w:rPr>
          <w:rFonts w:ascii="Times New Roman" w:hAnsi="Times New Roman" w:cs="Times New Roman"/>
          <w:sz w:val="24"/>
          <w:szCs w:val="24"/>
        </w:rPr>
        <w:br w:type="page"/>
      </w:r>
    </w:p>
    <w:p w:rsidR="00747A4A" w:rsidRPr="007D79E5" w:rsidRDefault="00747A4A" w:rsidP="007D79E5">
      <w:pPr>
        <w:pStyle w:val="TableofFigures"/>
        <w:tabs>
          <w:tab w:val="right" w:leader="dot" w:pos="9629"/>
        </w:tabs>
        <w:spacing w:line="360" w:lineRule="auto"/>
        <w:rPr>
          <w:rFonts w:ascii="Times New Roman" w:hAnsi="Times New Roman" w:cs="Times New Roman"/>
          <w:b/>
          <w:sz w:val="24"/>
          <w:szCs w:val="24"/>
        </w:rPr>
      </w:pPr>
      <w:r w:rsidRPr="007D79E5">
        <w:rPr>
          <w:rFonts w:ascii="Times New Roman" w:hAnsi="Times New Roman" w:cs="Times New Roman"/>
          <w:b/>
          <w:sz w:val="24"/>
          <w:szCs w:val="24"/>
        </w:rPr>
        <w:lastRenderedPageBreak/>
        <w:t>Списък със съкращения</w:t>
      </w:r>
      <w:r w:rsidR="007D79E5">
        <w:rPr>
          <w:rFonts w:ascii="Times New Roman" w:hAnsi="Times New Roman" w:cs="Times New Roman"/>
          <w:b/>
          <w:sz w:val="24"/>
          <w:szCs w:val="24"/>
        </w:rPr>
        <w:t>:</w:t>
      </w:r>
      <w:r w:rsidRPr="007D79E5">
        <w:rPr>
          <w:rFonts w:ascii="Times New Roman" w:hAnsi="Times New Roman" w:cs="Times New Roman"/>
          <w:b/>
          <w:sz w:val="24"/>
          <w:szCs w:val="24"/>
        </w:rPr>
        <w:t xml:space="preserve"> </w:t>
      </w:r>
    </w:p>
    <w:p w:rsidR="00F62E72" w:rsidRPr="00022DD1"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АД </w:t>
      </w:r>
      <w:r>
        <w:rPr>
          <w:rFonts w:ascii="Times New Roman" w:hAnsi="Times New Roman" w:cs="Times New Roman"/>
          <w:sz w:val="24"/>
          <w:szCs w:val="24"/>
          <w:lang w:val="en-US"/>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sidR="00277EA5">
        <w:rPr>
          <w:rFonts w:ascii="Times New Roman" w:hAnsi="Times New Roman" w:cs="Times New Roman"/>
          <w:sz w:val="24"/>
          <w:szCs w:val="24"/>
        </w:rPr>
        <w:t>А</w:t>
      </w:r>
      <w:r w:rsidR="00F62E72" w:rsidRPr="00022DD1">
        <w:rPr>
          <w:rFonts w:ascii="Times New Roman" w:hAnsi="Times New Roman" w:cs="Times New Roman"/>
          <w:sz w:val="24"/>
          <w:szCs w:val="24"/>
        </w:rPr>
        <w:t xml:space="preserve">кционерно дружество </w:t>
      </w:r>
    </w:p>
    <w:p w:rsidR="00F62E72" w:rsidRPr="00022DD1"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ВВМ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sidR="00277EA5">
        <w:rPr>
          <w:rFonts w:ascii="Times New Roman" w:hAnsi="Times New Roman" w:cs="Times New Roman"/>
          <w:sz w:val="24"/>
          <w:szCs w:val="24"/>
        </w:rPr>
        <w:t>В</w:t>
      </w:r>
      <w:r w:rsidR="00F62E72" w:rsidRPr="00022DD1">
        <w:rPr>
          <w:rFonts w:ascii="Times New Roman" w:hAnsi="Times New Roman" w:cs="Times New Roman"/>
          <w:sz w:val="24"/>
          <w:szCs w:val="24"/>
        </w:rPr>
        <w:t>ътрешна водопроводна мрежа</w:t>
      </w:r>
    </w:p>
    <w:p w:rsidR="00F62E72" w:rsidRPr="00B94499"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ВЕИ</w:t>
      </w:r>
      <w:r w:rsidR="00B94499">
        <w:rPr>
          <w:rFonts w:ascii="Times New Roman" w:hAnsi="Times New Roman" w:cs="Times New Roman"/>
          <w:sz w:val="24"/>
          <w:szCs w:val="24"/>
          <w:lang w:val="en-US"/>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B94499">
        <w:rPr>
          <w:rFonts w:ascii="Times New Roman" w:hAnsi="Times New Roman" w:cs="Times New Roman"/>
          <w:sz w:val="24"/>
          <w:szCs w:val="24"/>
          <w:lang w:val="en-US"/>
        </w:rPr>
        <w:t xml:space="preserve">– </w:t>
      </w:r>
      <w:r w:rsidR="00277EA5">
        <w:rPr>
          <w:rFonts w:ascii="Times New Roman" w:hAnsi="Times New Roman" w:cs="Times New Roman"/>
          <w:sz w:val="24"/>
          <w:szCs w:val="24"/>
        </w:rPr>
        <w:t>В</w:t>
      </w:r>
      <w:r w:rsidR="00B94499">
        <w:rPr>
          <w:rFonts w:ascii="Times New Roman" w:hAnsi="Times New Roman" w:cs="Times New Roman"/>
          <w:sz w:val="24"/>
          <w:szCs w:val="24"/>
        </w:rPr>
        <w:t xml:space="preserve">ъзобновими енергийни източници </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ВиК</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B94499">
        <w:rPr>
          <w:rFonts w:ascii="Times New Roman" w:hAnsi="Times New Roman" w:cs="Times New Roman"/>
          <w:sz w:val="24"/>
          <w:szCs w:val="24"/>
        </w:rPr>
        <w:t xml:space="preserve">– </w:t>
      </w:r>
      <w:r w:rsidR="00277EA5">
        <w:rPr>
          <w:rFonts w:ascii="Times New Roman" w:hAnsi="Times New Roman" w:cs="Times New Roman"/>
          <w:sz w:val="24"/>
          <w:szCs w:val="24"/>
        </w:rPr>
        <w:t>В</w:t>
      </w:r>
      <w:r w:rsidR="00B94499">
        <w:rPr>
          <w:rFonts w:ascii="Times New Roman" w:hAnsi="Times New Roman" w:cs="Times New Roman"/>
          <w:sz w:val="24"/>
          <w:szCs w:val="24"/>
        </w:rPr>
        <w:t>одоснабдяване и канализация</w:t>
      </w:r>
    </w:p>
    <w:p w:rsidR="00F62E72" w:rsidRPr="00022DD1" w:rsidRDefault="00F62E72" w:rsidP="00022DD1">
      <w:pPr>
        <w:spacing w:after="120" w:line="240" w:lineRule="auto"/>
        <w:rPr>
          <w:rFonts w:ascii="Times New Roman" w:hAnsi="Times New Roman" w:cs="Times New Roman"/>
          <w:sz w:val="24"/>
          <w:szCs w:val="24"/>
        </w:rPr>
      </w:pPr>
      <w:r w:rsidRPr="00277EA5">
        <w:rPr>
          <w:rFonts w:ascii="Times New Roman" w:hAnsi="Times New Roman" w:cs="Times New Roman"/>
          <w:sz w:val="24"/>
          <w:szCs w:val="24"/>
        </w:rPr>
        <w:t>ДЖТ</w:t>
      </w:r>
      <w:r w:rsidR="00B94499" w:rsidRP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sidRPr="00277EA5">
        <w:rPr>
          <w:rFonts w:ascii="Times New Roman" w:hAnsi="Times New Roman" w:cs="Times New Roman"/>
          <w:sz w:val="24"/>
          <w:szCs w:val="24"/>
        </w:rPr>
        <w:t>–</w:t>
      </w:r>
      <w:r w:rsidR="00B94499" w:rsidRPr="00277EA5">
        <w:rPr>
          <w:rFonts w:ascii="Times New Roman" w:hAnsi="Times New Roman" w:cs="Times New Roman"/>
          <w:sz w:val="24"/>
          <w:szCs w:val="24"/>
        </w:rPr>
        <w:t xml:space="preserve"> </w:t>
      </w:r>
      <w:r w:rsidR="00277EA5" w:rsidRPr="00277EA5">
        <w:rPr>
          <w:rFonts w:ascii="Times New Roman" w:hAnsi="Times New Roman" w:cs="Times New Roman"/>
          <w:sz w:val="24"/>
          <w:szCs w:val="24"/>
        </w:rPr>
        <w:t>Държавен</w:t>
      </w:r>
      <w:r w:rsidR="00277EA5">
        <w:rPr>
          <w:rFonts w:ascii="Times New Roman" w:hAnsi="Times New Roman" w:cs="Times New Roman"/>
          <w:sz w:val="24"/>
          <w:szCs w:val="24"/>
        </w:rPr>
        <w:t xml:space="preserve"> железопътен транспорт</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ДФЗ</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Държавен фонд „Земеделие“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ЕООД</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B94499">
        <w:rPr>
          <w:rFonts w:ascii="Times New Roman" w:hAnsi="Times New Roman" w:cs="Times New Roman"/>
          <w:sz w:val="24"/>
          <w:szCs w:val="24"/>
        </w:rPr>
        <w:t xml:space="preserve">– </w:t>
      </w:r>
      <w:r w:rsidR="00277EA5">
        <w:rPr>
          <w:rFonts w:ascii="Times New Roman" w:hAnsi="Times New Roman" w:cs="Times New Roman"/>
          <w:sz w:val="24"/>
          <w:szCs w:val="24"/>
        </w:rPr>
        <w:t>Е</w:t>
      </w:r>
      <w:r w:rsidR="00B94499">
        <w:rPr>
          <w:rFonts w:ascii="Times New Roman" w:hAnsi="Times New Roman" w:cs="Times New Roman"/>
          <w:sz w:val="24"/>
          <w:szCs w:val="24"/>
        </w:rPr>
        <w:t>днолично дружество с ограничена отговорност</w:t>
      </w:r>
    </w:p>
    <w:p w:rsidR="00F62E72" w:rsidRDefault="00B94499" w:rsidP="00022DD1">
      <w:pPr>
        <w:spacing w:after="120" w:line="240" w:lineRule="auto"/>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 xml:space="preserve">ЗРР </w:t>
      </w:r>
      <w:r w:rsidR="00607BFB">
        <w:rPr>
          <w:rFonts w:ascii="Times New Roman" w:hAnsi="Times New Roman" w:cs="Times New Roman"/>
          <w:sz w:val="24"/>
          <w:szCs w:val="24"/>
        </w:rPr>
        <w:tab/>
      </w:r>
      <w:r w:rsidR="00607BFB">
        <w:rPr>
          <w:rFonts w:ascii="Times New Roman" w:hAnsi="Times New Roman" w:cs="Times New Roman"/>
          <w:sz w:val="24"/>
          <w:szCs w:val="24"/>
        </w:rPr>
        <w:tab/>
        <w:t>– З</w:t>
      </w:r>
      <w:r w:rsidR="00F62E72" w:rsidRPr="00022DD1">
        <w:rPr>
          <w:rFonts w:ascii="Times New Roman" w:eastAsia="Times New Roman" w:hAnsi="Times New Roman" w:cs="Times New Roman"/>
          <w:color w:val="000000"/>
          <w:sz w:val="24"/>
          <w:szCs w:val="24"/>
          <w:lang w:eastAsia="bg-BG"/>
        </w:rPr>
        <w:t>акон за регионалното развитие</w:t>
      </w:r>
    </w:p>
    <w:p w:rsidR="00677039" w:rsidRPr="00607BFB" w:rsidRDefault="00677039" w:rsidP="00022DD1">
      <w:pPr>
        <w:spacing w:after="120" w:line="240" w:lineRule="auto"/>
        <w:rPr>
          <w:rFonts w:ascii="Times New Roman" w:hAnsi="Times New Roman" w:cs="Times New Roman"/>
          <w:sz w:val="24"/>
          <w:szCs w:val="24"/>
        </w:rPr>
      </w:pPr>
      <w:r w:rsidRPr="00607BFB">
        <w:rPr>
          <w:rFonts w:ascii="Times New Roman" w:eastAsia="Times New Roman" w:hAnsi="Times New Roman" w:cs="Times New Roman"/>
          <w:color w:val="000000"/>
          <w:sz w:val="24"/>
          <w:szCs w:val="24"/>
          <w:lang w:eastAsia="bg-BG"/>
        </w:rPr>
        <w:t>ЗЧАВ</w:t>
      </w:r>
      <w:r w:rsidR="00607BFB" w:rsidRPr="00607BFB">
        <w:rPr>
          <w:rFonts w:ascii="Times New Roman" w:eastAsia="Times New Roman" w:hAnsi="Times New Roman" w:cs="Times New Roman"/>
          <w:color w:val="000000"/>
          <w:sz w:val="24"/>
          <w:szCs w:val="24"/>
          <w:lang w:eastAsia="bg-BG"/>
        </w:rPr>
        <w:t xml:space="preserve"> </w:t>
      </w:r>
      <w:r w:rsidR="00607BFB">
        <w:rPr>
          <w:rFonts w:ascii="Times New Roman" w:eastAsia="Times New Roman" w:hAnsi="Times New Roman" w:cs="Times New Roman"/>
          <w:color w:val="000000"/>
          <w:sz w:val="24"/>
          <w:szCs w:val="24"/>
          <w:lang w:eastAsia="bg-BG"/>
        </w:rPr>
        <w:tab/>
      </w:r>
      <w:r w:rsidR="00607BFB">
        <w:rPr>
          <w:rFonts w:ascii="Times New Roman" w:eastAsia="Times New Roman" w:hAnsi="Times New Roman" w:cs="Times New Roman"/>
          <w:color w:val="000000"/>
          <w:sz w:val="24"/>
          <w:szCs w:val="24"/>
          <w:lang w:eastAsia="bg-BG"/>
        </w:rPr>
        <w:tab/>
      </w:r>
      <w:r w:rsidR="00607BFB" w:rsidRPr="00607BFB">
        <w:rPr>
          <w:rFonts w:ascii="Times New Roman" w:eastAsia="Times New Roman" w:hAnsi="Times New Roman" w:cs="Times New Roman"/>
          <w:color w:val="000000"/>
          <w:sz w:val="24"/>
          <w:szCs w:val="24"/>
          <w:lang w:eastAsia="bg-BG"/>
        </w:rPr>
        <w:t>–</w:t>
      </w:r>
      <w:r w:rsidR="00607BFB">
        <w:rPr>
          <w:rFonts w:ascii="Times New Roman" w:eastAsia="Times New Roman" w:hAnsi="Times New Roman" w:cs="Times New Roman"/>
          <w:color w:val="000000"/>
          <w:sz w:val="24"/>
          <w:szCs w:val="24"/>
          <w:lang w:eastAsia="bg-BG"/>
        </w:rPr>
        <w:t xml:space="preserve"> З</w:t>
      </w:r>
      <w:r w:rsidR="00607BFB" w:rsidRPr="00607BFB">
        <w:rPr>
          <w:rFonts w:ascii="Times New Roman" w:eastAsia="Times New Roman" w:hAnsi="Times New Roman" w:cs="Times New Roman"/>
          <w:color w:val="000000"/>
          <w:sz w:val="24"/>
          <w:szCs w:val="24"/>
          <w:lang w:eastAsia="bg-BG"/>
        </w:rPr>
        <w:t>акон за чистотата на атмосферния въздух</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ИКТ</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Информационно</w:t>
      </w:r>
      <w:r w:rsidR="00607BFB">
        <w:rPr>
          <w:rFonts w:ascii="Times New Roman" w:hAnsi="Times New Roman" w:cs="Times New Roman"/>
          <w:sz w:val="24"/>
          <w:szCs w:val="24"/>
        </w:rPr>
        <w:t>-</w:t>
      </w:r>
      <w:r w:rsidR="00277EA5">
        <w:rPr>
          <w:rFonts w:ascii="Times New Roman" w:hAnsi="Times New Roman" w:cs="Times New Roman"/>
          <w:sz w:val="24"/>
          <w:szCs w:val="24"/>
        </w:rPr>
        <w:t xml:space="preserve"> комуникационни технологии</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ИПГВР</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B94499">
        <w:rPr>
          <w:rFonts w:ascii="Times New Roman" w:hAnsi="Times New Roman" w:cs="Times New Roman"/>
          <w:sz w:val="24"/>
          <w:szCs w:val="24"/>
        </w:rPr>
        <w:t>– Интегриран план за градско възстановяване и развитие</w:t>
      </w:r>
    </w:p>
    <w:p w:rsidR="00725B07" w:rsidRPr="00022DD1" w:rsidRDefault="00725B07"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ИСУН</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B94499">
        <w:rPr>
          <w:rFonts w:ascii="Times New Roman" w:hAnsi="Times New Roman" w:cs="Times New Roman"/>
          <w:sz w:val="24"/>
          <w:szCs w:val="24"/>
        </w:rPr>
        <w:t>– Информационна система за управление и наблюдение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ККР</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w:t>
      </w:r>
      <w:r w:rsidR="00B94499">
        <w:rPr>
          <w:rFonts w:ascii="Times New Roman" w:hAnsi="Times New Roman" w:cs="Times New Roman"/>
          <w:sz w:val="24"/>
          <w:szCs w:val="24"/>
        </w:rPr>
        <w:t xml:space="preserve"> </w:t>
      </w:r>
      <w:r w:rsidR="00277EA5">
        <w:rPr>
          <w:rFonts w:ascii="Times New Roman" w:hAnsi="Times New Roman" w:cs="Times New Roman"/>
          <w:sz w:val="24"/>
          <w:szCs w:val="24"/>
        </w:rPr>
        <w:t>Кадастрална карта и кадастрален регистър</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МБАЛ</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B94499">
        <w:rPr>
          <w:rFonts w:ascii="Times New Roman" w:hAnsi="Times New Roman" w:cs="Times New Roman"/>
          <w:sz w:val="24"/>
          <w:szCs w:val="24"/>
        </w:rPr>
        <w:t>– Многопрофилна болница за активно лечение</w:t>
      </w:r>
    </w:p>
    <w:p w:rsidR="00677039" w:rsidRDefault="00677039" w:rsidP="00022DD1">
      <w:pPr>
        <w:spacing w:after="120" w:line="240" w:lineRule="auto"/>
        <w:rPr>
          <w:rFonts w:ascii="Times New Roman" w:hAnsi="Times New Roman" w:cs="Times New Roman"/>
          <w:sz w:val="24"/>
          <w:szCs w:val="24"/>
        </w:rPr>
      </w:pPr>
      <w:r w:rsidRPr="00607BFB">
        <w:rPr>
          <w:rFonts w:ascii="Times New Roman" w:hAnsi="Times New Roman" w:cs="Times New Roman"/>
          <w:sz w:val="24"/>
          <w:szCs w:val="24"/>
        </w:rPr>
        <w:t>МЗ</w:t>
      </w:r>
      <w:r w:rsidR="00607BFB" w:rsidRPr="00607BFB">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607BFB" w:rsidRPr="00607BFB">
        <w:rPr>
          <w:rFonts w:ascii="Times New Roman" w:hAnsi="Times New Roman" w:cs="Times New Roman"/>
          <w:sz w:val="24"/>
          <w:szCs w:val="24"/>
        </w:rPr>
        <w:t>– Министерство на здравеопазването</w:t>
      </w:r>
      <w:r w:rsidR="00607BFB">
        <w:rPr>
          <w:rFonts w:ascii="Times New Roman" w:hAnsi="Times New Roman" w:cs="Times New Roman"/>
          <w:sz w:val="24"/>
          <w:szCs w:val="24"/>
        </w:rPr>
        <w:t xml:space="preserve"> </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МЗХ</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B94499">
        <w:rPr>
          <w:rFonts w:ascii="Times New Roman" w:hAnsi="Times New Roman" w:cs="Times New Roman"/>
          <w:sz w:val="24"/>
          <w:szCs w:val="24"/>
        </w:rPr>
        <w:t>– Министерство на земеделието и храните</w:t>
      </w:r>
    </w:p>
    <w:p w:rsidR="00F62E72" w:rsidRPr="00022DD1"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МИГ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М</w:t>
      </w:r>
      <w:r w:rsidR="00F62E72" w:rsidRPr="00022DD1">
        <w:rPr>
          <w:rFonts w:ascii="Times New Roman" w:hAnsi="Times New Roman" w:cs="Times New Roman"/>
          <w:sz w:val="24"/>
          <w:szCs w:val="24"/>
        </w:rPr>
        <w:t xml:space="preserve">естна инициативна група </w:t>
      </w:r>
    </w:p>
    <w:p w:rsidR="00F62E72" w:rsidRPr="00022DD1"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МО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М</w:t>
      </w:r>
      <w:r w:rsidR="00F62E72" w:rsidRPr="00022DD1">
        <w:rPr>
          <w:rFonts w:ascii="Times New Roman" w:hAnsi="Times New Roman" w:cs="Times New Roman"/>
          <w:sz w:val="24"/>
          <w:szCs w:val="24"/>
        </w:rPr>
        <w:t xml:space="preserve">еждинна оценка </w:t>
      </w:r>
    </w:p>
    <w:p w:rsidR="00F62E72"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МОН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М</w:t>
      </w:r>
      <w:r w:rsidR="00F62E72" w:rsidRPr="00022DD1">
        <w:rPr>
          <w:rFonts w:ascii="Times New Roman" w:hAnsi="Times New Roman" w:cs="Times New Roman"/>
          <w:sz w:val="24"/>
          <w:szCs w:val="24"/>
        </w:rPr>
        <w:t>инистерство на образованието и науката</w:t>
      </w:r>
    </w:p>
    <w:p w:rsidR="00677039" w:rsidRPr="00022DD1" w:rsidRDefault="00677039" w:rsidP="00022DD1">
      <w:pPr>
        <w:spacing w:after="120" w:line="240" w:lineRule="auto"/>
        <w:rPr>
          <w:rFonts w:ascii="Times New Roman" w:hAnsi="Times New Roman" w:cs="Times New Roman"/>
          <w:sz w:val="24"/>
          <w:szCs w:val="24"/>
        </w:rPr>
      </w:pPr>
      <w:r w:rsidRPr="00607BFB">
        <w:rPr>
          <w:rFonts w:ascii="Times New Roman" w:hAnsi="Times New Roman" w:cs="Times New Roman"/>
          <w:sz w:val="24"/>
          <w:szCs w:val="24"/>
        </w:rPr>
        <w:t>МОСВ</w:t>
      </w:r>
      <w:r w:rsidR="00607BFB" w:rsidRPr="00607BFB">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sidRPr="00607BFB">
        <w:rPr>
          <w:rFonts w:ascii="Times New Roman" w:hAnsi="Times New Roman" w:cs="Times New Roman"/>
          <w:sz w:val="24"/>
          <w:szCs w:val="24"/>
        </w:rPr>
        <w:t>– Министерство на околната среда и водите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МРРБ</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B94499">
        <w:rPr>
          <w:rFonts w:ascii="Times New Roman" w:hAnsi="Times New Roman" w:cs="Times New Roman"/>
          <w:sz w:val="24"/>
          <w:szCs w:val="24"/>
        </w:rPr>
        <w:t>– Министерство на регионалното развитие и благоустройството</w:t>
      </w:r>
    </w:p>
    <w:p w:rsidR="00F62E72" w:rsidRPr="00022DD1"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НЕМ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Н</w:t>
      </w:r>
      <w:r w:rsidR="00F62E72" w:rsidRPr="00022DD1">
        <w:rPr>
          <w:rFonts w:ascii="Times New Roman" w:hAnsi="Times New Roman" w:cs="Times New Roman"/>
          <w:sz w:val="24"/>
          <w:szCs w:val="24"/>
        </w:rPr>
        <w:t xml:space="preserve">ационална екологична мрежа </w:t>
      </w:r>
    </w:p>
    <w:p w:rsidR="00F62E72" w:rsidRPr="00022DD1" w:rsidRDefault="00B94499"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НП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Н</w:t>
      </w:r>
      <w:r w:rsidR="00F62E72" w:rsidRPr="00022DD1">
        <w:rPr>
          <w:rFonts w:ascii="Times New Roman" w:hAnsi="Times New Roman" w:cs="Times New Roman"/>
          <w:sz w:val="24"/>
          <w:szCs w:val="24"/>
        </w:rPr>
        <w:t xml:space="preserve">ационална програма </w:t>
      </w:r>
    </w:p>
    <w:p w:rsidR="00F62E72" w:rsidRPr="00022DD1" w:rsidRDefault="00F62E72" w:rsidP="00022DD1">
      <w:pPr>
        <w:spacing w:after="120" w:line="240" w:lineRule="auto"/>
        <w:rPr>
          <w:rFonts w:ascii="Times New Roman" w:hAnsi="Times New Roman" w:cs="Times New Roman"/>
          <w:sz w:val="24"/>
          <w:szCs w:val="24"/>
        </w:rPr>
      </w:pPr>
      <w:r w:rsidRPr="00022DD1">
        <w:rPr>
          <w:rStyle w:val="FontStyle11"/>
          <w:b w:val="0"/>
          <w:i w:val="0"/>
          <w:sz w:val="24"/>
          <w:szCs w:val="24"/>
        </w:rPr>
        <w:t xml:space="preserve">НП ОСПОЗ </w:t>
      </w:r>
      <w:r w:rsidR="00022DD1">
        <w:rPr>
          <w:rStyle w:val="FontStyle11"/>
          <w:b w:val="0"/>
          <w:i w:val="0"/>
          <w:sz w:val="24"/>
          <w:szCs w:val="24"/>
        </w:rPr>
        <w:tab/>
      </w:r>
      <w:r w:rsidRPr="00022DD1">
        <w:rPr>
          <w:rStyle w:val="FontStyle11"/>
          <w:b w:val="0"/>
          <w:i w:val="0"/>
          <w:sz w:val="24"/>
          <w:szCs w:val="24"/>
        </w:rPr>
        <w:t xml:space="preserve">– </w:t>
      </w:r>
      <w:r w:rsidR="00B94499">
        <w:rPr>
          <w:rFonts w:ascii="Times New Roman" w:hAnsi="Times New Roman" w:cs="Times New Roman"/>
          <w:sz w:val="24"/>
          <w:szCs w:val="24"/>
        </w:rPr>
        <w:t>Н</w:t>
      </w:r>
      <w:r w:rsidRPr="00022DD1">
        <w:rPr>
          <w:rFonts w:ascii="Times New Roman" w:hAnsi="Times New Roman" w:cs="Times New Roman"/>
          <w:sz w:val="24"/>
          <w:szCs w:val="24"/>
        </w:rPr>
        <w:t xml:space="preserve">ационална програма „От социални помощи към осигуряване на заетост“ </w:t>
      </w:r>
    </w:p>
    <w:p w:rsidR="00725B07" w:rsidRPr="00022DD1" w:rsidRDefault="00725B07"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НСИ</w:t>
      </w:r>
      <w:r w:rsidR="00B94499">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B94499">
        <w:rPr>
          <w:rFonts w:ascii="Times New Roman" w:hAnsi="Times New Roman" w:cs="Times New Roman"/>
          <w:sz w:val="24"/>
          <w:szCs w:val="24"/>
        </w:rPr>
        <w:t>– Национален статистически институт</w:t>
      </w:r>
    </w:p>
    <w:p w:rsidR="00F62E72" w:rsidRPr="00022DD1" w:rsidRDefault="00277EA5"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НЧ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Н</w:t>
      </w:r>
      <w:r w:rsidR="00F62E72" w:rsidRPr="00022DD1">
        <w:rPr>
          <w:rFonts w:ascii="Times New Roman" w:hAnsi="Times New Roman" w:cs="Times New Roman"/>
          <w:sz w:val="24"/>
          <w:szCs w:val="24"/>
        </w:rPr>
        <w:t>ационално читалище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НУ</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Начално училище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ОДЗ</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Обединено детско заведение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ООД</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Дружество с ограничена отговорност</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ОП НОИР </w:t>
      </w:r>
      <w:r w:rsidR="00607BFB">
        <w:rPr>
          <w:rFonts w:ascii="Times New Roman" w:hAnsi="Times New Roman" w:cs="Times New Roman"/>
          <w:sz w:val="24"/>
          <w:szCs w:val="24"/>
        </w:rPr>
        <w:tab/>
      </w:r>
      <w:r w:rsidR="00277EA5">
        <w:rPr>
          <w:rFonts w:ascii="Times New Roman" w:hAnsi="Times New Roman" w:cs="Times New Roman"/>
          <w:sz w:val="24"/>
          <w:szCs w:val="24"/>
        </w:rPr>
        <w:t xml:space="preserve">– Оперативна програма </w:t>
      </w:r>
      <w:r w:rsidR="00277EA5" w:rsidRPr="00277EA5">
        <w:rPr>
          <w:rFonts w:ascii="Times New Roman" w:hAnsi="Times New Roman" w:cs="Times New Roman"/>
          <w:sz w:val="24"/>
          <w:szCs w:val="24"/>
        </w:rPr>
        <w:t>Наука и образование за интелигентен растеж</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ОПР</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Общински план за развитие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ОПРР</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Оперативна програма Региони в растеж</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ОП РЧР </w:t>
      </w:r>
      <w:r w:rsidR="00607BFB">
        <w:rPr>
          <w:rFonts w:ascii="Times New Roman" w:hAnsi="Times New Roman" w:cs="Times New Roman"/>
          <w:sz w:val="24"/>
          <w:szCs w:val="24"/>
        </w:rPr>
        <w:tab/>
      </w:r>
      <w:r w:rsidR="00277EA5">
        <w:rPr>
          <w:rFonts w:ascii="Times New Roman" w:hAnsi="Times New Roman" w:cs="Times New Roman"/>
          <w:sz w:val="24"/>
          <w:szCs w:val="24"/>
        </w:rPr>
        <w:t>– Оперативна програма Развитие на човешките ресурси</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ОСР</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Областна стратегия за развитие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ОУ </w:t>
      </w:r>
      <w:r w:rsidR="00607BFB">
        <w:rPr>
          <w:rFonts w:ascii="Times New Roman" w:hAnsi="Times New Roman" w:cs="Times New Roman"/>
          <w:sz w:val="24"/>
          <w:szCs w:val="24"/>
        </w:rPr>
        <w:tab/>
      </w:r>
      <w:r w:rsidR="00607BFB">
        <w:rPr>
          <w:rFonts w:ascii="Times New Roman" w:hAnsi="Times New Roman" w:cs="Times New Roman"/>
          <w:sz w:val="24"/>
          <w:szCs w:val="24"/>
        </w:rPr>
        <w:tab/>
      </w:r>
      <w:r w:rsidRPr="00022DD1">
        <w:rPr>
          <w:rFonts w:ascii="Times New Roman" w:hAnsi="Times New Roman" w:cs="Times New Roman"/>
          <w:sz w:val="24"/>
          <w:szCs w:val="24"/>
        </w:rPr>
        <w:t xml:space="preserve">– </w:t>
      </w:r>
      <w:r w:rsidR="00277EA5">
        <w:rPr>
          <w:rFonts w:ascii="Times New Roman" w:hAnsi="Times New Roman" w:cs="Times New Roman"/>
          <w:sz w:val="24"/>
          <w:szCs w:val="24"/>
        </w:rPr>
        <w:t>О</w:t>
      </w:r>
      <w:r w:rsidRPr="00022DD1">
        <w:rPr>
          <w:rFonts w:ascii="Times New Roman" w:hAnsi="Times New Roman" w:cs="Times New Roman"/>
          <w:sz w:val="24"/>
          <w:szCs w:val="24"/>
        </w:rPr>
        <w:t xml:space="preserve">сновно училище </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ОУП</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Общ устройствен план</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lastRenderedPageBreak/>
        <w:t>ПДЯ</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t>–</w:t>
      </w:r>
      <w:r w:rsidR="00277EA5">
        <w:rPr>
          <w:rFonts w:ascii="Times New Roman" w:hAnsi="Times New Roman" w:cs="Times New Roman"/>
          <w:sz w:val="24"/>
          <w:szCs w:val="24"/>
        </w:rPr>
        <w:t xml:space="preserve"> </w:t>
      </w:r>
      <w:r w:rsidR="00277EA5" w:rsidRPr="00277EA5">
        <w:rPr>
          <w:rFonts w:ascii="Times New Roman" w:hAnsi="Times New Roman" w:cs="Times New Roman"/>
          <w:sz w:val="24"/>
          <w:szCs w:val="24"/>
        </w:rPr>
        <w:t>Постоянна</w:t>
      </w:r>
      <w:r w:rsidR="00607BFB">
        <w:rPr>
          <w:rFonts w:ascii="Times New Roman" w:hAnsi="Times New Roman" w:cs="Times New Roman"/>
          <w:sz w:val="24"/>
          <w:szCs w:val="24"/>
        </w:rPr>
        <w:t xml:space="preserve"> </w:t>
      </w:r>
      <w:r w:rsidR="00277EA5" w:rsidRPr="00277EA5">
        <w:rPr>
          <w:rFonts w:ascii="Times New Roman" w:hAnsi="Times New Roman" w:cs="Times New Roman"/>
          <w:sz w:val="24"/>
          <w:szCs w:val="24"/>
        </w:rPr>
        <w:t>детска ясла</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eastAsia="Times New Roman" w:hAnsi="Times New Roman" w:cs="Times New Roman"/>
          <w:bCs/>
          <w:color w:val="000000"/>
          <w:sz w:val="24"/>
          <w:szCs w:val="24"/>
          <w:lang w:val="af-ZA" w:eastAsia="bg-BG"/>
        </w:rPr>
        <w:t>ППЗРР</w:t>
      </w:r>
      <w:r w:rsidRPr="00022DD1">
        <w:rPr>
          <w:rFonts w:ascii="Times New Roman" w:eastAsia="Times New Roman" w:hAnsi="Times New Roman" w:cs="Times New Roman"/>
          <w:bCs/>
          <w:color w:val="000000"/>
          <w:sz w:val="24"/>
          <w:szCs w:val="24"/>
          <w:lang w:eastAsia="bg-BG"/>
        </w:rPr>
        <w:t xml:space="preserve"> </w:t>
      </w:r>
      <w:r w:rsidR="00607BFB">
        <w:rPr>
          <w:rFonts w:ascii="Times New Roman" w:eastAsia="Times New Roman" w:hAnsi="Times New Roman" w:cs="Times New Roman"/>
          <w:bCs/>
          <w:color w:val="000000"/>
          <w:sz w:val="24"/>
          <w:szCs w:val="24"/>
          <w:lang w:eastAsia="bg-BG"/>
        </w:rPr>
        <w:tab/>
      </w:r>
      <w:r w:rsidR="00277EA5">
        <w:rPr>
          <w:rFonts w:ascii="Times New Roman" w:eastAsia="Times New Roman" w:hAnsi="Times New Roman" w:cs="Times New Roman"/>
          <w:bCs/>
          <w:color w:val="000000"/>
          <w:sz w:val="24"/>
          <w:szCs w:val="24"/>
          <w:lang w:eastAsia="bg-BG"/>
        </w:rPr>
        <w:t>– Правилник за прилагане на Закона за регионално развитите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ПРСР</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Програма за развитие на селските райони</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ПУП</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t xml:space="preserve">– </w:t>
      </w:r>
      <w:r w:rsidR="00277EA5">
        <w:rPr>
          <w:rFonts w:ascii="Times New Roman" w:hAnsi="Times New Roman" w:cs="Times New Roman"/>
          <w:sz w:val="24"/>
          <w:szCs w:val="24"/>
        </w:rPr>
        <w:t>Подробен</w:t>
      </w:r>
      <w:r w:rsidR="00607BFB">
        <w:rPr>
          <w:rFonts w:ascii="Times New Roman" w:hAnsi="Times New Roman" w:cs="Times New Roman"/>
          <w:sz w:val="24"/>
          <w:szCs w:val="24"/>
        </w:rPr>
        <w:t xml:space="preserve"> </w:t>
      </w:r>
      <w:r w:rsidR="00277EA5">
        <w:rPr>
          <w:rFonts w:ascii="Times New Roman" w:hAnsi="Times New Roman" w:cs="Times New Roman"/>
          <w:sz w:val="24"/>
          <w:szCs w:val="24"/>
        </w:rPr>
        <w:t>устройствен план</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РИМ </w:t>
      </w:r>
      <w:r w:rsidR="00607BFB">
        <w:rPr>
          <w:rFonts w:ascii="Times New Roman" w:hAnsi="Times New Roman" w:cs="Times New Roman"/>
          <w:sz w:val="24"/>
          <w:szCs w:val="24"/>
        </w:rPr>
        <w:tab/>
      </w:r>
      <w:r w:rsidR="00607BFB">
        <w:rPr>
          <w:rFonts w:ascii="Times New Roman" w:hAnsi="Times New Roman" w:cs="Times New Roman"/>
          <w:sz w:val="24"/>
          <w:szCs w:val="24"/>
        </w:rPr>
        <w:tab/>
      </w:r>
      <w:r w:rsidRPr="00022DD1">
        <w:rPr>
          <w:rFonts w:ascii="Times New Roman" w:hAnsi="Times New Roman" w:cs="Times New Roman"/>
          <w:sz w:val="24"/>
          <w:szCs w:val="24"/>
        </w:rPr>
        <w:t xml:space="preserve">– </w:t>
      </w:r>
      <w:r w:rsidR="00277EA5">
        <w:rPr>
          <w:rFonts w:ascii="Times New Roman" w:hAnsi="Times New Roman" w:cs="Times New Roman"/>
          <w:sz w:val="24"/>
          <w:szCs w:val="24"/>
        </w:rPr>
        <w:t>Р</w:t>
      </w:r>
      <w:r w:rsidRPr="00022DD1">
        <w:rPr>
          <w:rFonts w:ascii="Times New Roman" w:hAnsi="Times New Roman" w:cs="Times New Roman"/>
          <w:sz w:val="24"/>
          <w:szCs w:val="24"/>
        </w:rPr>
        <w:t xml:space="preserve">егионален исторически музей </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СМР</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Строително монтажни работи</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СОУ</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Средно общообразователно училище</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СУ </w:t>
      </w:r>
      <w:r w:rsidR="00607BFB">
        <w:rPr>
          <w:rFonts w:ascii="Times New Roman" w:hAnsi="Times New Roman" w:cs="Times New Roman"/>
          <w:sz w:val="24"/>
          <w:szCs w:val="24"/>
        </w:rPr>
        <w:tab/>
      </w:r>
      <w:r w:rsidR="00607BFB">
        <w:rPr>
          <w:rFonts w:ascii="Times New Roman" w:hAnsi="Times New Roman" w:cs="Times New Roman"/>
          <w:sz w:val="24"/>
          <w:szCs w:val="24"/>
        </w:rPr>
        <w:tab/>
      </w:r>
      <w:r w:rsidRPr="00022DD1">
        <w:rPr>
          <w:rFonts w:ascii="Times New Roman" w:hAnsi="Times New Roman" w:cs="Times New Roman"/>
          <w:sz w:val="24"/>
          <w:szCs w:val="24"/>
        </w:rPr>
        <w:t xml:space="preserve">– </w:t>
      </w:r>
      <w:r w:rsidR="00277EA5">
        <w:rPr>
          <w:rFonts w:ascii="Times New Roman" w:hAnsi="Times New Roman" w:cs="Times New Roman"/>
          <w:sz w:val="24"/>
          <w:szCs w:val="24"/>
        </w:rPr>
        <w:t>Специално</w:t>
      </w:r>
      <w:r w:rsidRPr="00022DD1">
        <w:rPr>
          <w:rFonts w:ascii="Times New Roman" w:hAnsi="Times New Roman" w:cs="Times New Roman"/>
          <w:sz w:val="24"/>
          <w:szCs w:val="24"/>
        </w:rPr>
        <w:t xml:space="preserve"> училище </w:t>
      </w:r>
    </w:p>
    <w:p w:rsidR="00F62E72" w:rsidRPr="00022DD1" w:rsidRDefault="00277EA5" w:rsidP="00022D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ТБО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F62E72" w:rsidRPr="00022DD1">
        <w:rPr>
          <w:rFonts w:ascii="Times New Roman" w:hAnsi="Times New Roman" w:cs="Times New Roman"/>
          <w:sz w:val="24"/>
          <w:szCs w:val="24"/>
        </w:rPr>
        <w:t xml:space="preserve">– </w:t>
      </w:r>
      <w:r>
        <w:rPr>
          <w:rFonts w:ascii="Times New Roman" w:hAnsi="Times New Roman" w:cs="Times New Roman"/>
          <w:sz w:val="24"/>
          <w:szCs w:val="24"/>
        </w:rPr>
        <w:t>Т</w:t>
      </w:r>
      <w:r w:rsidR="00F62E72" w:rsidRPr="00022DD1">
        <w:rPr>
          <w:rFonts w:ascii="Times New Roman" w:hAnsi="Times New Roman" w:cs="Times New Roman"/>
          <w:sz w:val="24"/>
          <w:szCs w:val="24"/>
        </w:rPr>
        <w:t xml:space="preserve">върди битови отпадъци </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ТИЦ </w:t>
      </w:r>
      <w:r w:rsidR="00607BFB">
        <w:rPr>
          <w:rFonts w:ascii="Times New Roman" w:hAnsi="Times New Roman" w:cs="Times New Roman"/>
          <w:sz w:val="24"/>
          <w:szCs w:val="24"/>
        </w:rPr>
        <w:tab/>
      </w:r>
      <w:r w:rsidR="00607BFB">
        <w:rPr>
          <w:rFonts w:ascii="Times New Roman" w:hAnsi="Times New Roman" w:cs="Times New Roman"/>
          <w:sz w:val="24"/>
          <w:szCs w:val="24"/>
        </w:rPr>
        <w:tab/>
        <w:t xml:space="preserve">– </w:t>
      </w:r>
      <w:r w:rsidR="00277EA5">
        <w:rPr>
          <w:rFonts w:ascii="Times New Roman" w:hAnsi="Times New Roman" w:cs="Times New Roman"/>
          <w:sz w:val="24"/>
          <w:szCs w:val="24"/>
        </w:rPr>
        <w:t>Т</w:t>
      </w:r>
      <w:r w:rsidRPr="00022DD1">
        <w:rPr>
          <w:rFonts w:ascii="Times New Roman" w:hAnsi="Times New Roman" w:cs="Times New Roman"/>
          <w:sz w:val="24"/>
          <w:szCs w:val="24"/>
        </w:rPr>
        <w:t>уристически</w:t>
      </w:r>
      <w:r w:rsidR="00607BFB">
        <w:rPr>
          <w:rFonts w:ascii="Times New Roman" w:hAnsi="Times New Roman" w:cs="Times New Roman"/>
          <w:sz w:val="24"/>
          <w:szCs w:val="24"/>
        </w:rPr>
        <w:t xml:space="preserve"> </w:t>
      </w:r>
      <w:r w:rsidRPr="00022DD1">
        <w:rPr>
          <w:rFonts w:ascii="Times New Roman" w:hAnsi="Times New Roman" w:cs="Times New Roman"/>
          <w:sz w:val="24"/>
          <w:szCs w:val="24"/>
        </w:rPr>
        <w:t>информационен център</w:t>
      </w:r>
    </w:p>
    <w:p w:rsidR="00F62E72"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ДГ</w:t>
      </w:r>
      <w:r w:rsidR="007D79E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7D79E5">
        <w:rPr>
          <w:rFonts w:ascii="Times New Roman" w:hAnsi="Times New Roman" w:cs="Times New Roman"/>
          <w:sz w:val="24"/>
          <w:szCs w:val="24"/>
        </w:rPr>
        <w:t>– Д</w:t>
      </w:r>
      <w:r w:rsidR="00277EA5">
        <w:rPr>
          <w:rFonts w:ascii="Times New Roman" w:hAnsi="Times New Roman" w:cs="Times New Roman"/>
          <w:sz w:val="24"/>
          <w:szCs w:val="24"/>
        </w:rPr>
        <w:t>етска градина</w:t>
      </w:r>
    </w:p>
    <w:p w:rsidR="00677039" w:rsidRPr="00022DD1" w:rsidRDefault="00677039" w:rsidP="00022DD1">
      <w:pPr>
        <w:spacing w:after="120" w:line="240" w:lineRule="auto"/>
        <w:rPr>
          <w:rFonts w:ascii="Times New Roman" w:hAnsi="Times New Roman" w:cs="Times New Roman"/>
          <w:sz w:val="24"/>
          <w:szCs w:val="24"/>
        </w:rPr>
      </w:pPr>
      <w:r w:rsidRPr="00607BFB">
        <w:rPr>
          <w:rFonts w:ascii="Times New Roman" w:hAnsi="Times New Roman" w:cs="Times New Roman"/>
          <w:sz w:val="24"/>
          <w:szCs w:val="24"/>
        </w:rPr>
        <w:t>ФПЧ</w:t>
      </w:r>
      <w:r w:rsidR="00607BFB" w:rsidRPr="00607BFB">
        <w:rPr>
          <w:rFonts w:ascii="Times New Roman" w:hAnsi="Times New Roman" w:cs="Times New Roman"/>
          <w:sz w:val="24"/>
          <w:szCs w:val="24"/>
        </w:rPr>
        <w:t xml:space="preserve"> </w:t>
      </w:r>
      <w:r w:rsidR="00607BFB" w:rsidRPr="00607BFB">
        <w:rPr>
          <w:rFonts w:ascii="Times New Roman" w:hAnsi="Times New Roman" w:cs="Times New Roman"/>
          <w:sz w:val="24"/>
          <w:szCs w:val="24"/>
        </w:rPr>
        <w:tab/>
      </w:r>
      <w:r w:rsidR="00607BFB" w:rsidRPr="00607BFB">
        <w:rPr>
          <w:rFonts w:ascii="Times New Roman" w:hAnsi="Times New Roman" w:cs="Times New Roman"/>
          <w:sz w:val="24"/>
          <w:szCs w:val="24"/>
        </w:rPr>
        <w:tab/>
        <w:t>– Фини прахови частици</w:t>
      </w:r>
      <w:r w:rsidR="00607BFB">
        <w:rPr>
          <w:rFonts w:ascii="Times New Roman" w:hAnsi="Times New Roman" w:cs="Times New Roman"/>
          <w:sz w:val="24"/>
          <w:szCs w:val="24"/>
        </w:rPr>
        <w:t xml:space="preserve"> </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 xml:space="preserve">ЦМЕД </w:t>
      </w:r>
      <w:r w:rsidR="00607BFB">
        <w:rPr>
          <w:rFonts w:ascii="Times New Roman" w:hAnsi="Times New Roman" w:cs="Times New Roman"/>
          <w:sz w:val="24"/>
          <w:szCs w:val="24"/>
        </w:rPr>
        <w:tab/>
      </w:r>
      <w:r w:rsidR="00277EA5">
        <w:rPr>
          <w:rFonts w:ascii="Times New Roman" w:hAnsi="Times New Roman" w:cs="Times New Roman"/>
          <w:sz w:val="24"/>
          <w:szCs w:val="24"/>
        </w:rPr>
        <w:t>– Ц</w:t>
      </w:r>
      <w:r w:rsidR="00277EA5" w:rsidRPr="00277EA5">
        <w:rPr>
          <w:rFonts w:ascii="Times New Roman" w:hAnsi="Times New Roman" w:cs="Times New Roman"/>
          <w:sz w:val="24"/>
          <w:szCs w:val="24"/>
        </w:rPr>
        <w:t>ентър за междуетнически диалог</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ЦОУД</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277EA5">
        <w:rPr>
          <w:rFonts w:ascii="Times New Roman" w:hAnsi="Times New Roman" w:cs="Times New Roman"/>
          <w:sz w:val="24"/>
          <w:szCs w:val="24"/>
        </w:rPr>
        <w:t>– Целодневна организация на учебния ден</w:t>
      </w:r>
    </w:p>
    <w:p w:rsidR="00F62E72" w:rsidRPr="00022DD1" w:rsidRDefault="00F62E72" w:rsidP="00022DD1">
      <w:pPr>
        <w:spacing w:after="120" w:line="240" w:lineRule="auto"/>
        <w:rPr>
          <w:rFonts w:ascii="Times New Roman" w:hAnsi="Times New Roman" w:cs="Times New Roman"/>
          <w:sz w:val="24"/>
          <w:szCs w:val="24"/>
        </w:rPr>
      </w:pPr>
      <w:r w:rsidRPr="00022DD1">
        <w:rPr>
          <w:rFonts w:ascii="Times New Roman" w:hAnsi="Times New Roman" w:cs="Times New Roman"/>
          <w:sz w:val="24"/>
          <w:szCs w:val="24"/>
        </w:rPr>
        <w:t>ЦГЧ</w:t>
      </w:r>
      <w:r w:rsidR="00277EA5">
        <w:rPr>
          <w:rFonts w:ascii="Times New Roman" w:hAnsi="Times New Roman" w:cs="Times New Roman"/>
          <w:sz w:val="24"/>
          <w:szCs w:val="24"/>
        </w:rPr>
        <w:t xml:space="preserve"> </w:t>
      </w:r>
      <w:r w:rsidR="00607BFB">
        <w:rPr>
          <w:rFonts w:ascii="Times New Roman" w:hAnsi="Times New Roman" w:cs="Times New Roman"/>
          <w:sz w:val="24"/>
          <w:szCs w:val="24"/>
        </w:rPr>
        <w:tab/>
      </w:r>
      <w:r w:rsidR="00607BFB">
        <w:rPr>
          <w:rFonts w:ascii="Times New Roman" w:hAnsi="Times New Roman" w:cs="Times New Roman"/>
          <w:sz w:val="24"/>
          <w:szCs w:val="24"/>
        </w:rPr>
        <w:tab/>
      </w:r>
      <w:r w:rsidR="00277EA5">
        <w:rPr>
          <w:rFonts w:ascii="Times New Roman" w:hAnsi="Times New Roman" w:cs="Times New Roman"/>
          <w:sz w:val="24"/>
          <w:szCs w:val="24"/>
        </w:rPr>
        <w:t>– Централна градска част</w:t>
      </w:r>
    </w:p>
    <w:p w:rsidR="00747A4A" w:rsidRPr="00022DD1" w:rsidRDefault="00747A4A" w:rsidP="00022DD1">
      <w:pPr>
        <w:pStyle w:val="Heading1"/>
        <w:spacing w:before="0" w:after="120" w:line="240" w:lineRule="auto"/>
        <w:rPr>
          <w:rFonts w:eastAsia="Times New Roman"/>
          <w:sz w:val="24"/>
          <w:szCs w:val="24"/>
        </w:rPr>
      </w:pPr>
    </w:p>
    <w:p w:rsidR="00747A4A" w:rsidRDefault="00747A4A" w:rsidP="0050323B">
      <w:pPr>
        <w:pStyle w:val="Heading1"/>
        <w:spacing w:before="0" w:after="120" w:line="240" w:lineRule="auto"/>
        <w:ind w:firstLine="708"/>
        <w:rPr>
          <w:rFonts w:eastAsia="Times New Roman"/>
        </w:rPr>
      </w:pPr>
    </w:p>
    <w:p w:rsidR="00747A4A" w:rsidRDefault="00747A4A" w:rsidP="00747A4A"/>
    <w:p w:rsidR="00747A4A" w:rsidRDefault="00747A4A" w:rsidP="00747A4A"/>
    <w:p w:rsidR="00747A4A" w:rsidRDefault="00747A4A">
      <w:r>
        <w:br w:type="page"/>
      </w:r>
    </w:p>
    <w:p w:rsidR="00747A4A" w:rsidRPr="00747A4A" w:rsidRDefault="00747A4A" w:rsidP="00747A4A"/>
    <w:p w:rsidR="00481E0C" w:rsidRPr="00747A4A" w:rsidRDefault="00747A4A" w:rsidP="00A767B6">
      <w:pPr>
        <w:pStyle w:val="Heading1"/>
        <w:numPr>
          <w:ilvl w:val="0"/>
          <w:numId w:val="11"/>
        </w:numPr>
        <w:spacing w:before="0" w:after="120" w:line="240" w:lineRule="auto"/>
        <w:rPr>
          <w:rFonts w:eastAsia="Times New Roman"/>
        </w:rPr>
      </w:pPr>
      <w:bookmarkStart w:id="1" w:name="_Toc510702802"/>
      <w:r w:rsidRPr="00747A4A">
        <w:rPr>
          <w:rFonts w:eastAsia="Times New Roman"/>
        </w:rPr>
        <w:t>Въведение</w:t>
      </w:r>
      <w:bookmarkEnd w:id="1"/>
      <w:r w:rsidRPr="00747A4A">
        <w:rPr>
          <w:rFonts w:eastAsia="Times New Roman"/>
        </w:rPr>
        <w:t xml:space="preserve"> </w:t>
      </w:r>
    </w:p>
    <w:p w:rsidR="00C22C3E" w:rsidRDefault="00C22C3E" w:rsidP="0000596C">
      <w:pPr>
        <w:spacing w:after="0" w:line="360" w:lineRule="auto"/>
        <w:jc w:val="both"/>
      </w:pPr>
    </w:p>
    <w:p w:rsidR="000F4318" w:rsidRPr="001A29F8" w:rsidRDefault="000F4318" w:rsidP="0000596C">
      <w:pPr>
        <w:shd w:val="clear" w:color="auto" w:fill="FEFEFE"/>
        <w:spacing w:after="0" w:line="360" w:lineRule="auto"/>
        <w:ind w:firstLine="709"/>
        <w:jc w:val="both"/>
        <w:rPr>
          <w:rFonts w:ascii="Times New Roman" w:eastAsia="Times New Roman" w:hAnsi="Times New Roman" w:cs="Times New Roman"/>
          <w:bCs/>
          <w:color w:val="000000"/>
          <w:sz w:val="24"/>
          <w:szCs w:val="24"/>
        </w:rPr>
      </w:pPr>
      <w:r w:rsidRPr="001A29F8">
        <w:rPr>
          <w:rFonts w:ascii="Times New Roman" w:eastAsia="Times New Roman" w:hAnsi="Times New Roman" w:cs="Times New Roman"/>
          <w:bCs/>
          <w:color w:val="000000"/>
          <w:sz w:val="24"/>
          <w:szCs w:val="24"/>
        </w:rPr>
        <w:t>Докладът от проведената междинна оценка на ОСР</w:t>
      </w:r>
      <w:r w:rsidR="00A62B0B">
        <w:rPr>
          <w:rFonts w:ascii="Times New Roman" w:eastAsia="Times New Roman" w:hAnsi="Times New Roman" w:cs="Times New Roman"/>
          <w:bCs/>
          <w:color w:val="000000"/>
          <w:sz w:val="24"/>
          <w:szCs w:val="24"/>
        </w:rPr>
        <w:t xml:space="preserve"> </w:t>
      </w:r>
      <w:r w:rsidRPr="001A29F8">
        <w:rPr>
          <w:rFonts w:ascii="Times New Roman" w:eastAsia="Times New Roman" w:hAnsi="Times New Roman" w:cs="Times New Roman"/>
          <w:bCs/>
          <w:color w:val="000000"/>
          <w:sz w:val="24"/>
          <w:szCs w:val="24"/>
        </w:rPr>
        <w:t xml:space="preserve"> </w:t>
      </w:r>
      <w:r w:rsidR="00A62B0B" w:rsidRPr="001A29F8">
        <w:rPr>
          <w:rFonts w:ascii="Times New Roman" w:eastAsia="Times New Roman" w:hAnsi="Times New Roman" w:cs="Times New Roman"/>
          <w:bCs/>
          <w:color w:val="000000"/>
          <w:sz w:val="24"/>
          <w:szCs w:val="24"/>
        </w:rPr>
        <w:t>2014-2020</w:t>
      </w:r>
      <w:r w:rsidR="00A62B0B">
        <w:rPr>
          <w:rFonts w:ascii="Times New Roman" w:eastAsia="Times New Roman" w:hAnsi="Times New Roman" w:cs="Times New Roman"/>
          <w:bCs/>
          <w:color w:val="000000"/>
          <w:sz w:val="24"/>
          <w:szCs w:val="24"/>
        </w:rPr>
        <w:t xml:space="preserve"> </w:t>
      </w:r>
      <w:r w:rsidR="00A62B0B" w:rsidRPr="001A29F8">
        <w:rPr>
          <w:rFonts w:ascii="Times New Roman" w:eastAsia="Times New Roman" w:hAnsi="Times New Roman" w:cs="Times New Roman"/>
          <w:bCs/>
          <w:color w:val="000000"/>
          <w:sz w:val="24"/>
          <w:szCs w:val="24"/>
        </w:rPr>
        <w:t>г</w:t>
      </w:r>
      <w:r w:rsidR="00A62B0B">
        <w:rPr>
          <w:rFonts w:ascii="Times New Roman" w:eastAsia="Times New Roman" w:hAnsi="Times New Roman" w:cs="Times New Roman"/>
          <w:bCs/>
          <w:color w:val="000000"/>
          <w:sz w:val="24"/>
          <w:szCs w:val="24"/>
        </w:rPr>
        <w:t>.</w:t>
      </w:r>
      <w:r w:rsidR="00A62B0B" w:rsidRPr="001A29F8">
        <w:rPr>
          <w:rFonts w:ascii="Times New Roman" w:eastAsia="Times New Roman" w:hAnsi="Times New Roman" w:cs="Times New Roman"/>
          <w:bCs/>
          <w:color w:val="000000"/>
          <w:sz w:val="24"/>
          <w:szCs w:val="24"/>
        </w:rPr>
        <w:t xml:space="preserve"> </w:t>
      </w:r>
      <w:r w:rsidRPr="001A29F8">
        <w:rPr>
          <w:rFonts w:ascii="Times New Roman" w:eastAsia="Times New Roman" w:hAnsi="Times New Roman" w:cs="Times New Roman"/>
          <w:bCs/>
          <w:color w:val="000000"/>
          <w:sz w:val="24"/>
          <w:szCs w:val="24"/>
        </w:rPr>
        <w:t xml:space="preserve">на област </w:t>
      </w:r>
      <w:r w:rsidR="00A62B0B">
        <w:rPr>
          <w:rFonts w:ascii="Times New Roman" w:eastAsia="Times New Roman" w:hAnsi="Times New Roman" w:cs="Times New Roman"/>
          <w:bCs/>
          <w:color w:val="000000"/>
          <w:sz w:val="24"/>
          <w:szCs w:val="24"/>
        </w:rPr>
        <w:t>Ловеч</w:t>
      </w:r>
      <w:r w:rsidRPr="001A29F8">
        <w:rPr>
          <w:rFonts w:ascii="Times New Roman" w:eastAsia="Times New Roman" w:hAnsi="Times New Roman" w:cs="Times New Roman"/>
          <w:bCs/>
          <w:color w:val="000000"/>
          <w:sz w:val="24"/>
          <w:szCs w:val="24"/>
        </w:rPr>
        <w:t xml:space="preserve"> е изготвен съгласно нормативно заложеното изискване в чл. 33, ал. 1 от Закона за регионално развитие за извършване на междинна оценка на всички документи за стратегическо планиране в средата на периода на изпълнение, в т.ч. и областната стратегия за развитие. Междинната оценка е извършена от експертен екип притежаващ нужната квалификация според Правилника за прилагане на ЗРР и въз основа на сключен договор </w:t>
      </w:r>
      <w:r w:rsidR="00A62B0B">
        <w:rPr>
          <w:rFonts w:ascii="Times New Roman" w:eastAsia="Times New Roman" w:hAnsi="Times New Roman" w:cs="Times New Roman"/>
          <w:bCs/>
          <w:color w:val="000000"/>
          <w:sz w:val="24"/>
          <w:szCs w:val="24"/>
        </w:rPr>
        <w:t>от 18.01.2018 г.</w:t>
      </w:r>
      <w:r w:rsidRPr="001A29F8">
        <w:rPr>
          <w:rFonts w:ascii="Times New Roman" w:eastAsia="Times New Roman" w:hAnsi="Times New Roman" w:cs="Times New Roman"/>
          <w:bCs/>
          <w:color w:val="000000"/>
          <w:sz w:val="24"/>
          <w:szCs w:val="24"/>
        </w:rPr>
        <w:t xml:space="preserve"> между „</w:t>
      </w:r>
      <w:r w:rsidR="00A62B0B">
        <w:rPr>
          <w:rFonts w:ascii="Times New Roman" w:eastAsia="Times New Roman" w:hAnsi="Times New Roman" w:cs="Times New Roman"/>
          <w:bCs/>
          <w:color w:val="000000"/>
          <w:sz w:val="24"/>
          <w:szCs w:val="24"/>
        </w:rPr>
        <w:t>Географика</w:t>
      </w:r>
      <w:r w:rsidRPr="001A29F8">
        <w:rPr>
          <w:rFonts w:ascii="Times New Roman" w:eastAsia="Times New Roman" w:hAnsi="Times New Roman" w:cs="Times New Roman"/>
          <w:bCs/>
          <w:color w:val="000000"/>
          <w:sz w:val="24"/>
          <w:szCs w:val="24"/>
        </w:rPr>
        <w:t xml:space="preserve">“ ООД и областна администрация </w:t>
      </w:r>
      <w:r w:rsidR="00A62B0B">
        <w:rPr>
          <w:rFonts w:ascii="Times New Roman" w:eastAsia="Times New Roman" w:hAnsi="Times New Roman" w:cs="Times New Roman"/>
          <w:bCs/>
          <w:color w:val="000000"/>
          <w:sz w:val="24"/>
          <w:szCs w:val="24"/>
        </w:rPr>
        <w:t xml:space="preserve">Ловеч </w:t>
      </w:r>
      <w:r w:rsidRPr="001A29F8">
        <w:rPr>
          <w:rFonts w:ascii="Times New Roman" w:eastAsia="Times New Roman" w:hAnsi="Times New Roman" w:cs="Times New Roman"/>
          <w:bCs/>
          <w:color w:val="000000"/>
          <w:sz w:val="24"/>
          <w:szCs w:val="24"/>
        </w:rPr>
        <w:t xml:space="preserve">с предмет: „Изготвяне на междинна оценка на </w:t>
      </w:r>
      <w:r w:rsidR="00A62B0B">
        <w:rPr>
          <w:rFonts w:ascii="Times New Roman" w:eastAsia="Times New Roman" w:hAnsi="Times New Roman" w:cs="Times New Roman"/>
          <w:bCs/>
          <w:color w:val="000000"/>
          <w:sz w:val="24"/>
          <w:szCs w:val="24"/>
        </w:rPr>
        <w:t>О</w:t>
      </w:r>
      <w:r w:rsidRPr="001A29F8">
        <w:rPr>
          <w:rFonts w:ascii="Times New Roman" w:eastAsia="Times New Roman" w:hAnsi="Times New Roman" w:cs="Times New Roman"/>
          <w:bCs/>
          <w:color w:val="000000"/>
          <w:sz w:val="24"/>
          <w:szCs w:val="24"/>
        </w:rPr>
        <w:t xml:space="preserve">бластна стратегия на област </w:t>
      </w:r>
      <w:r w:rsidR="00A62B0B">
        <w:rPr>
          <w:rFonts w:ascii="Times New Roman" w:eastAsia="Times New Roman" w:hAnsi="Times New Roman" w:cs="Times New Roman"/>
          <w:bCs/>
          <w:color w:val="000000"/>
          <w:sz w:val="24"/>
          <w:szCs w:val="24"/>
        </w:rPr>
        <w:t>Ловеч</w:t>
      </w:r>
      <w:r w:rsidRPr="001A29F8">
        <w:rPr>
          <w:rFonts w:ascii="Times New Roman" w:eastAsia="Times New Roman" w:hAnsi="Times New Roman" w:cs="Times New Roman"/>
          <w:bCs/>
          <w:color w:val="000000"/>
          <w:sz w:val="24"/>
          <w:szCs w:val="24"/>
        </w:rPr>
        <w:t xml:space="preserve"> за периода 2014-2020 г.“.</w:t>
      </w:r>
    </w:p>
    <w:p w:rsidR="000F4318" w:rsidRPr="001A29F8" w:rsidRDefault="000F4318" w:rsidP="0000596C">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Областната стратегия за развитие </w:t>
      </w:r>
      <w:r w:rsidRPr="001A29F8">
        <w:rPr>
          <w:rFonts w:ascii="Times New Roman" w:eastAsia="Times New Roman" w:hAnsi="Times New Roman" w:cs="Times New Roman"/>
          <w:color w:val="000000"/>
          <w:sz w:val="24"/>
          <w:szCs w:val="24"/>
          <w:lang w:val="en-US" w:eastAsia="bg-BG"/>
        </w:rPr>
        <w:t xml:space="preserve">e </w:t>
      </w:r>
      <w:r w:rsidRPr="001A29F8">
        <w:rPr>
          <w:rFonts w:ascii="Times New Roman" w:eastAsia="Times New Roman" w:hAnsi="Times New Roman" w:cs="Times New Roman"/>
          <w:color w:val="000000"/>
          <w:sz w:val="24"/>
          <w:szCs w:val="24"/>
          <w:lang w:eastAsia="bg-BG"/>
        </w:rPr>
        <w:t xml:space="preserve">част от системата документи за стратегическо планиране и програмиране на регионалното развитие. Съгласно чл. 12 на Закона за регионалното развитие (ЗРР), областната стратегия за развитие (ОСР) определя средносрочните цели и приоритети за развитие на територията на областта, както и дава стратегическите насоки за разработването на общинските планове за развитие. Областната стратегия за развитие е разработена в съответствие с регионалния план за развитие на Северозападния планов </w:t>
      </w:r>
      <w:r w:rsidRPr="000D1831">
        <w:rPr>
          <w:rFonts w:ascii="Times New Roman" w:eastAsia="Times New Roman" w:hAnsi="Times New Roman" w:cs="Times New Roman"/>
          <w:color w:val="000000"/>
          <w:sz w:val="24"/>
          <w:szCs w:val="24"/>
          <w:lang w:eastAsia="bg-BG"/>
        </w:rPr>
        <w:t xml:space="preserve">район. ОСР на област </w:t>
      </w:r>
      <w:r w:rsidR="00A62B0B" w:rsidRPr="000D1831">
        <w:rPr>
          <w:rFonts w:ascii="Times New Roman" w:eastAsia="Times New Roman" w:hAnsi="Times New Roman" w:cs="Times New Roman"/>
          <w:color w:val="000000"/>
          <w:sz w:val="24"/>
          <w:szCs w:val="24"/>
          <w:lang w:eastAsia="bg-BG"/>
        </w:rPr>
        <w:t xml:space="preserve">Ловеч </w:t>
      </w:r>
      <w:r w:rsidRPr="000D1831">
        <w:rPr>
          <w:rFonts w:ascii="Times New Roman" w:eastAsia="Times New Roman" w:hAnsi="Times New Roman" w:cs="Times New Roman"/>
          <w:color w:val="000000"/>
          <w:sz w:val="24"/>
          <w:szCs w:val="24"/>
          <w:lang w:eastAsia="bg-BG"/>
        </w:rPr>
        <w:t xml:space="preserve">е разработена през 2013 г. и определя необходимостта от реализация на дейности в област </w:t>
      </w:r>
      <w:r w:rsidR="00A62B0B" w:rsidRPr="000D1831">
        <w:rPr>
          <w:rFonts w:ascii="Times New Roman" w:eastAsia="Times New Roman" w:hAnsi="Times New Roman" w:cs="Times New Roman"/>
          <w:color w:val="000000"/>
          <w:sz w:val="24"/>
          <w:szCs w:val="24"/>
          <w:lang w:eastAsia="bg-BG"/>
        </w:rPr>
        <w:t xml:space="preserve">Ловеч </w:t>
      </w:r>
      <w:r w:rsidRPr="000D1831">
        <w:rPr>
          <w:rFonts w:ascii="Times New Roman" w:eastAsia="Times New Roman" w:hAnsi="Times New Roman" w:cs="Times New Roman"/>
          <w:color w:val="000000"/>
          <w:sz w:val="24"/>
          <w:szCs w:val="24"/>
          <w:lang w:eastAsia="bg-BG"/>
        </w:rPr>
        <w:t xml:space="preserve">с цел </w:t>
      </w:r>
      <w:r w:rsidR="000D1831" w:rsidRPr="000D1831">
        <w:rPr>
          <w:rFonts w:ascii="Times New Roman" w:eastAsia="Times New Roman" w:hAnsi="Times New Roman" w:cs="Times New Roman"/>
          <w:color w:val="000000"/>
          <w:sz w:val="24"/>
          <w:szCs w:val="24"/>
          <w:lang w:eastAsia="bg-BG"/>
        </w:rPr>
        <w:t>постигане на устойчиво развитие и просперитет на област Ловеч чрез подобрена конкурентоспособност и използване на местния потенциал</w:t>
      </w:r>
      <w:r w:rsidRPr="000D1831">
        <w:rPr>
          <w:rFonts w:ascii="Times New Roman" w:eastAsia="Times New Roman" w:hAnsi="Times New Roman" w:cs="Times New Roman"/>
          <w:color w:val="000000"/>
          <w:sz w:val="24"/>
          <w:szCs w:val="24"/>
          <w:lang w:eastAsia="bg-BG"/>
        </w:rPr>
        <w:t>.</w:t>
      </w:r>
      <w:r w:rsidRPr="001A29F8">
        <w:rPr>
          <w:rFonts w:ascii="Times New Roman" w:eastAsia="Times New Roman" w:hAnsi="Times New Roman" w:cs="Times New Roman"/>
          <w:color w:val="000000"/>
          <w:sz w:val="24"/>
          <w:szCs w:val="24"/>
          <w:lang w:eastAsia="bg-BG"/>
        </w:rPr>
        <w:t xml:space="preserve"> </w:t>
      </w:r>
    </w:p>
    <w:p w:rsidR="000F4318" w:rsidRPr="001A29F8" w:rsidRDefault="000F4318" w:rsidP="0000596C">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Осъществяването на наблюдението и оценката на изпълнението на ОСР е изключително важна стъпка към подобряване и усъвършенстване на процеса на стратегическо планиране и програмиране на регионалното развитие и по-добрата работа на отговорните институции за провеждането на политиката за регионално развитие. Като част от документите за стратегическо планиране, ОСР на област </w:t>
      </w:r>
      <w:r w:rsidR="00A62B0B">
        <w:rPr>
          <w:rFonts w:ascii="Times New Roman" w:eastAsia="Times New Roman" w:hAnsi="Times New Roman" w:cs="Times New Roman"/>
          <w:color w:val="000000"/>
          <w:sz w:val="24"/>
          <w:szCs w:val="24"/>
          <w:lang w:eastAsia="bg-BG"/>
        </w:rPr>
        <w:t xml:space="preserve">Ловеч </w:t>
      </w:r>
      <w:r w:rsidRPr="001A29F8">
        <w:rPr>
          <w:rFonts w:ascii="Times New Roman" w:eastAsia="Times New Roman" w:hAnsi="Times New Roman" w:cs="Times New Roman"/>
          <w:color w:val="000000"/>
          <w:sz w:val="24"/>
          <w:szCs w:val="24"/>
          <w:lang w:eastAsia="bg-BG"/>
        </w:rPr>
        <w:t>подлежи на междинна оценка в средата на периода на действие на стратегическия документ</w:t>
      </w:r>
      <w:r w:rsidR="006901E5">
        <w:rPr>
          <w:rFonts w:ascii="Times New Roman" w:eastAsia="Times New Roman" w:hAnsi="Times New Roman" w:cs="Times New Roman"/>
          <w:color w:val="000000"/>
          <w:sz w:val="24"/>
          <w:szCs w:val="24"/>
          <w:lang w:eastAsia="bg-BG"/>
        </w:rPr>
        <w:t xml:space="preserve">, т.е </w:t>
      </w:r>
      <w:r w:rsidRPr="001A29F8">
        <w:rPr>
          <w:rFonts w:ascii="Times New Roman" w:eastAsia="Times New Roman" w:hAnsi="Times New Roman" w:cs="Times New Roman"/>
          <w:color w:val="000000"/>
          <w:sz w:val="24"/>
          <w:szCs w:val="24"/>
          <w:lang w:eastAsia="bg-BG"/>
        </w:rPr>
        <w:t>до края на 201</w:t>
      </w:r>
      <w:r w:rsidR="008D1E14">
        <w:rPr>
          <w:rFonts w:ascii="Times New Roman" w:eastAsia="Times New Roman" w:hAnsi="Times New Roman" w:cs="Times New Roman"/>
          <w:color w:val="000000"/>
          <w:sz w:val="24"/>
          <w:szCs w:val="24"/>
          <w:lang w:eastAsia="bg-BG"/>
        </w:rPr>
        <w:t>6</w:t>
      </w:r>
      <w:r w:rsidR="006901E5">
        <w:rPr>
          <w:rFonts w:ascii="Times New Roman" w:eastAsia="Times New Roman" w:hAnsi="Times New Roman" w:cs="Times New Roman"/>
          <w:color w:val="000000"/>
          <w:sz w:val="24"/>
          <w:szCs w:val="24"/>
          <w:lang w:eastAsia="bg-BG"/>
        </w:rPr>
        <w:t xml:space="preserve"> г</w:t>
      </w:r>
      <w:r w:rsidRPr="001A29F8">
        <w:rPr>
          <w:rFonts w:ascii="Times New Roman" w:eastAsia="Times New Roman" w:hAnsi="Times New Roman" w:cs="Times New Roman"/>
          <w:color w:val="000000"/>
          <w:sz w:val="24"/>
          <w:szCs w:val="24"/>
          <w:lang w:eastAsia="bg-BG"/>
        </w:rPr>
        <w:t xml:space="preserve">. Съобразно нормативните изискванията настоящата междинна оценка включва: </w:t>
      </w:r>
    </w:p>
    <w:p w:rsidR="000F4318" w:rsidRPr="001A29F8" w:rsidRDefault="000F4318" w:rsidP="0000596C">
      <w:pPr>
        <w:numPr>
          <w:ilvl w:val="0"/>
          <w:numId w:val="1"/>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1A29F8">
        <w:rPr>
          <w:rFonts w:ascii="Times New Roman" w:eastAsia="Times New Roman" w:hAnsi="Times New Roman" w:cs="Times New Roman"/>
          <w:bCs/>
          <w:color w:val="000000"/>
          <w:sz w:val="24"/>
          <w:szCs w:val="24"/>
          <w:lang w:eastAsia="bg-BG"/>
        </w:rPr>
        <w:t>Оценка на първоначалните резултати от изпълнението;</w:t>
      </w:r>
    </w:p>
    <w:p w:rsidR="000F4318" w:rsidRPr="001A29F8" w:rsidRDefault="000F4318" w:rsidP="0000596C">
      <w:pPr>
        <w:numPr>
          <w:ilvl w:val="0"/>
          <w:numId w:val="1"/>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1A29F8">
        <w:rPr>
          <w:rFonts w:ascii="Times New Roman" w:eastAsia="Times New Roman" w:hAnsi="Times New Roman" w:cs="Times New Roman"/>
          <w:bCs/>
          <w:color w:val="000000"/>
          <w:sz w:val="24"/>
          <w:szCs w:val="24"/>
          <w:lang w:eastAsia="bg-BG"/>
        </w:rPr>
        <w:t>Оценка на степента на постигане на съответните цели;</w:t>
      </w:r>
    </w:p>
    <w:p w:rsidR="000F4318" w:rsidRPr="001A29F8" w:rsidRDefault="000F4318" w:rsidP="0000596C">
      <w:pPr>
        <w:numPr>
          <w:ilvl w:val="0"/>
          <w:numId w:val="1"/>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1A29F8">
        <w:rPr>
          <w:rFonts w:ascii="Times New Roman" w:eastAsia="Times New Roman" w:hAnsi="Times New Roman" w:cs="Times New Roman"/>
          <w:bCs/>
          <w:color w:val="000000"/>
          <w:sz w:val="24"/>
          <w:szCs w:val="24"/>
          <w:lang w:eastAsia="bg-BG"/>
        </w:rPr>
        <w:t>Оценка на ефективността и ефикасността на използваните ресурси;</w:t>
      </w:r>
    </w:p>
    <w:p w:rsidR="000F4318" w:rsidRPr="001A29F8" w:rsidRDefault="000F4318" w:rsidP="0000596C">
      <w:pPr>
        <w:numPr>
          <w:ilvl w:val="0"/>
          <w:numId w:val="1"/>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1A29F8">
        <w:rPr>
          <w:rFonts w:ascii="Times New Roman" w:eastAsia="Times New Roman" w:hAnsi="Times New Roman" w:cs="Times New Roman"/>
          <w:bCs/>
          <w:color w:val="000000"/>
          <w:sz w:val="24"/>
          <w:szCs w:val="24"/>
          <w:lang w:eastAsia="bg-BG"/>
        </w:rPr>
        <w:t>Изводи и препоръки за изпълнението на съответния документ.</w:t>
      </w:r>
    </w:p>
    <w:p w:rsidR="000F4318" w:rsidRPr="001A29F8" w:rsidRDefault="000F4318" w:rsidP="0000596C">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val="af-ZA" w:eastAsia="bg-BG"/>
        </w:rPr>
      </w:pPr>
      <w:r w:rsidRPr="001A29F8">
        <w:rPr>
          <w:rFonts w:ascii="Times New Roman" w:eastAsia="Times New Roman" w:hAnsi="Times New Roman" w:cs="Times New Roman"/>
          <w:bCs/>
          <w:color w:val="000000"/>
          <w:sz w:val="24"/>
          <w:szCs w:val="24"/>
          <w:lang w:eastAsia="bg-BG"/>
        </w:rPr>
        <w:t xml:space="preserve">Също така, междинната оценка е съобразена и с изискванията, заложени в чл. 30, ал. </w:t>
      </w:r>
      <w:r w:rsidRPr="001A29F8">
        <w:rPr>
          <w:rFonts w:ascii="Times New Roman" w:eastAsia="Times New Roman" w:hAnsi="Times New Roman" w:cs="Times New Roman"/>
          <w:bCs/>
          <w:color w:val="000000"/>
          <w:sz w:val="24"/>
          <w:szCs w:val="24"/>
          <w:lang w:val="af-ZA" w:eastAsia="bg-BG"/>
        </w:rPr>
        <w:t xml:space="preserve">2 от ППЗРР </w:t>
      </w:r>
      <w:r w:rsidRPr="001A29F8">
        <w:rPr>
          <w:rFonts w:ascii="Times New Roman" w:eastAsia="Times New Roman" w:hAnsi="Times New Roman" w:cs="Times New Roman"/>
          <w:color w:val="000000"/>
          <w:sz w:val="24"/>
          <w:szCs w:val="24"/>
          <w:lang w:val="af-ZA" w:eastAsia="bg-BG"/>
        </w:rPr>
        <w:t>и съдържа информация относно:</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lastRenderedPageBreak/>
        <w:t>Постигнатия напредък по изпълнението на целите и приоритетите за развитие на областта през изтеклия период;</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t>Резултатите от междинната оценка съгласно критериите за оценка на изпълнението на областната стратегия за развитие;</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t>Резултатите от наблюдението и оценката на изпълнението на общинските планове за развитие;</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t>Използваните през периода ресурси за постигане целите на областната стратегия за развитие;</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t>Възникналите проблеми и предприетите действия от компетентните органи за тяхното преодоляване;</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t>Прогноза за очакваното изпълнение на целите и приоритетите на областната стратегия за развитие до края на периода на действие;</w:t>
      </w:r>
    </w:p>
    <w:p w:rsidR="000F4318" w:rsidRPr="009755CF" w:rsidRDefault="000F4318" w:rsidP="0000596C">
      <w:pPr>
        <w:numPr>
          <w:ilvl w:val="0"/>
          <w:numId w:val="2"/>
        </w:numPr>
        <w:shd w:val="clear" w:color="auto" w:fill="FEFEFE"/>
        <w:spacing w:after="0" w:line="360" w:lineRule="auto"/>
        <w:jc w:val="both"/>
        <w:rPr>
          <w:rFonts w:ascii="Times New Roman" w:eastAsia="Times New Roman" w:hAnsi="Times New Roman" w:cs="Times New Roman"/>
          <w:bCs/>
          <w:color w:val="000000"/>
          <w:sz w:val="24"/>
          <w:szCs w:val="24"/>
          <w:lang w:eastAsia="bg-BG"/>
        </w:rPr>
      </w:pPr>
      <w:r w:rsidRPr="009755CF">
        <w:rPr>
          <w:rFonts w:ascii="Times New Roman" w:eastAsia="Times New Roman" w:hAnsi="Times New Roman" w:cs="Times New Roman"/>
          <w:bCs/>
          <w:color w:val="000000"/>
          <w:sz w:val="24"/>
          <w:szCs w:val="24"/>
          <w:lang w:eastAsia="bg-BG"/>
        </w:rPr>
        <w:t>Предложения за актуализация на областната стратегия за развитие.</w:t>
      </w:r>
    </w:p>
    <w:p w:rsidR="000F4318" w:rsidRPr="001A29F8" w:rsidRDefault="000F4318" w:rsidP="0000596C">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Настоящата междинната оценка на ОСР на област </w:t>
      </w:r>
      <w:r w:rsidR="00A62B0B">
        <w:rPr>
          <w:rFonts w:ascii="Times New Roman" w:eastAsia="Times New Roman" w:hAnsi="Times New Roman" w:cs="Times New Roman"/>
          <w:color w:val="000000"/>
          <w:sz w:val="24"/>
          <w:szCs w:val="24"/>
          <w:lang w:eastAsia="bg-BG"/>
        </w:rPr>
        <w:t xml:space="preserve">Ловеч </w:t>
      </w:r>
      <w:r w:rsidRPr="001A29F8">
        <w:rPr>
          <w:rFonts w:ascii="Times New Roman" w:eastAsia="Times New Roman" w:hAnsi="Times New Roman" w:cs="Times New Roman"/>
          <w:color w:val="000000"/>
          <w:sz w:val="24"/>
          <w:szCs w:val="24"/>
          <w:lang w:eastAsia="bg-BG"/>
        </w:rPr>
        <w:t xml:space="preserve">е неразделна част от цикъла на стратегическо регионално </w:t>
      </w:r>
      <w:r w:rsidRPr="00353BD9">
        <w:rPr>
          <w:rFonts w:ascii="Times New Roman" w:eastAsia="Times New Roman" w:hAnsi="Times New Roman" w:cs="Times New Roman"/>
          <w:color w:val="000000"/>
          <w:sz w:val="24"/>
          <w:szCs w:val="24"/>
          <w:lang w:eastAsia="bg-BG"/>
        </w:rPr>
        <w:t>планиране. Заедно с оценка на изпълнение, докладът съдържа и анализ на релевантността на стратегията и капацитетът за нейната координация. Чр</w:t>
      </w:r>
      <w:r w:rsidRPr="001A29F8">
        <w:rPr>
          <w:rFonts w:ascii="Times New Roman" w:eastAsia="Times New Roman" w:hAnsi="Times New Roman" w:cs="Times New Roman"/>
          <w:color w:val="000000"/>
          <w:sz w:val="24"/>
          <w:szCs w:val="24"/>
          <w:lang w:eastAsia="bg-BG"/>
        </w:rPr>
        <w:t xml:space="preserve">ез разработването на междинна оценка на областната стратегия за развитие се подпомага нейното управление и реализация. Докладът комбинира експертен ситуационен и сравнителен анализ, на база на който се оценяват резултатите и въздействието от прилагането на ОСР </w:t>
      </w:r>
      <w:r w:rsidR="00A62B0B">
        <w:rPr>
          <w:rFonts w:ascii="Times New Roman" w:eastAsia="Times New Roman" w:hAnsi="Times New Roman" w:cs="Times New Roman"/>
          <w:color w:val="000000"/>
          <w:sz w:val="24"/>
          <w:szCs w:val="24"/>
          <w:lang w:eastAsia="bg-BG"/>
        </w:rPr>
        <w:t xml:space="preserve">Ловеч </w:t>
      </w:r>
      <w:r w:rsidRPr="001A29F8">
        <w:rPr>
          <w:rFonts w:ascii="Times New Roman" w:eastAsia="Times New Roman" w:hAnsi="Times New Roman" w:cs="Times New Roman"/>
          <w:color w:val="000000"/>
          <w:sz w:val="24"/>
          <w:szCs w:val="24"/>
          <w:lang w:eastAsia="bg-BG"/>
        </w:rPr>
        <w:t>към 201</w:t>
      </w:r>
      <w:r w:rsidR="008D1E14">
        <w:rPr>
          <w:rFonts w:ascii="Times New Roman" w:eastAsia="Times New Roman" w:hAnsi="Times New Roman" w:cs="Times New Roman"/>
          <w:color w:val="000000"/>
          <w:sz w:val="24"/>
          <w:szCs w:val="24"/>
          <w:lang w:eastAsia="bg-BG"/>
        </w:rPr>
        <w:t>6</w:t>
      </w:r>
      <w:r w:rsidRPr="001A29F8">
        <w:rPr>
          <w:rFonts w:ascii="Times New Roman" w:eastAsia="Times New Roman" w:hAnsi="Times New Roman" w:cs="Times New Roman"/>
          <w:color w:val="000000"/>
          <w:sz w:val="24"/>
          <w:szCs w:val="24"/>
          <w:lang w:eastAsia="bg-BG"/>
        </w:rPr>
        <w:t xml:space="preserve"> г. Основен предмет за анализ и оценка на настоящия междинен доклад е изпълнението и напредъкът по заложените стратегически цели и приоритетни обл</w:t>
      </w:r>
      <w:r w:rsidR="008D1E14">
        <w:rPr>
          <w:rFonts w:ascii="Times New Roman" w:eastAsia="Times New Roman" w:hAnsi="Times New Roman" w:cs="Times New Roman"/>
          <w:color w:val="000000"/>
          <w:sz w:val="24"/>
          <w:szCs w:val="24"/>
          <w:lang w:eastAsia="bg-BG"/>
        </w:rPr>
        <w:t>асти в стратегическия документ за периода 2014-</w:t>
      </w:r>
      <w:r w:rsidRPr="001A29F8">
        <w:rPr>
          <w:rFonts w:ascii="Times New Roman" w:eastAsia="Times New Roman" w:hAnsi="Times New Roman" w:cs="Times New Roman"/>
          <w:color w:val="000000"/>
          <w:sz w:val="24"/>
          <w:szCs w:val="24"/>
          <w:lang w:eastAsia="bg-BG"/>
        </w:rPr>
        <w:t>201</w:t>
      </w:r>
      <w:r w:rsidR="008D1E14">
        <w:rPr>
          <w:rFonts w:ascii="Times New Roman" w:eastAsia="Times New Roman" w:hAnsi="Times New Roman" w:cs="Times New Roman"/>
          <w:color w:val="000000"/>
          <w:sz w:val="24"/>
          <w:szCs w:val="24"/>
          <w:lang w:eastAsia="bg-BG"/>
        </w:rPr>
        <w:t>6</w:t>
      </w:r>
      <w:r w:rsidRPr="001A29F8">
        <w:rPr>
          <w:rFonts w:ascii="Times New Roman" w:eastAsia="Times New Roman" w:hAnsi="Times New Roman" w:cs="Times New Roman"/>
          <w:color w:val="000000"/>
          <w:sz w:val="24"/>
          <w:szCs w:val="24"/>
          <w:lang w:eastAsia="bg-BG"/>
        </w:rPr>
        <w:t xml:space="preserve"> г. </w:t>
      </w:r>
    </w:p>
    <w:p w:rsidR="000F4318" w:rsidRPr="0000596C" w:rsidRDefault="000F4318" w:rsidP="0000596C">
      <w:pPr>
        <w:spacing w:after="0" w:line="360" w:lineRule="auto"/>
        <w:ind w:firstLine="708"/>
        <w:jc w:val="both"/>
        <w:rPr>
          <w:rFonts w:ascii="Times New Roman" w:eastAsia="Calibri" w:hAnsi="Times New Roman" w:cs="Times New Roman"/>
          <w:sz w:val="24"/>
          <w:szCs w:val="24"/>
          <w:lang w:val="en-US" w:eastAsia="bg-BG"/>
        </w:rPr>
      </w:pPr>
      <w:r w:rsidRPr="001A29F8">
        <w:rPr>
          <w:rFonts w:ascii="Times New Roman" w:eastAsia="Calibri" w:hAnsi="Times New Roman" w:cs="Times New Roman"/>
          <w:sz w:val="24"/>
          <w:szCs w:val="24"/>
          <w:lang w:eastAsia="bg-BG"/>
        </w:rPr>
        <w:t>Целите на Междинната оценка са да подпомогне цялостното управление на ОСР, нейното актуализиране и ако е необходимо – неговото преориентиране, а също и осигуряване на информация за подобряване на изпълнението на плана и в частност – подобряване на координацията и мониторинга по неговото изпълнение.</w:t>
      </w:r>
    </w:p>
    <w:p w:rsidR="00E1049E" w:rsidRDefault="00E1049E" w:rsidP="004047DF">
      <w:pPr>
        <w:spacing w:after="120" w:line="240" w:lineRule="auto"/>
      </w:pPr>
    </w:p>
    <w:p w:rsidR="00A767B6" w:rsidRDefault="00A767B6" w:rsidP="004047DF">
      <w:pPr>
        <w:spacing w:after="120" w:line="240" w:lineRule="auto"/>
      </w:pPr>
    </w:p>
    <w:p w:rsidR="00EE3436" w:rsidRDefault="00EE3436">
      <w:r>
        <w:br w:type="page"/>
      </w:r>
    </w:p>
    <w:p w:rsidR="00EE3436" w:rsidRDefault="00EE3436" w:rsidP="004047DF">
      <w:pPr>
        <w:spacing w:after="120" w:line="240" w:lineRule="auto"/>
      </w:pPr>
    </w:p>
    <w:p w:rsidR="000F4318" w:rsidRPr="000F4318" w:rsidRDefault="000F4318" w:rsidP="00A767B6">
      <w:pPr>
        <w:pStyle w:val="Heading1"/>
        <w:numPr>
          <w:ilvl w:val="0"/>
          <w:numId w:val="11"/>
        </w:numPr>
        <w:spacing w:before="0" w:after="120" w:line="240" w:lineRule="auto"/>
        <w:rPr>
          <w:rFonts w:eastAsia="Times New Roman"/>
        </w:rPr>
      </w:pPr>
      <w:bookmarkStart w:id="2" w:name="_Toc510702803"/>
      <w:r w:rsidRPr="000F4318">
        <w:rPr>
          <w:rFonts w:eastAsia="Times New Roman"/>
        </w:rPr>
        <w:t>Методология</w:t>
      </w:r>
      <w:bookmarkEnd w:id="2"/>
    </w:p>
    <w:p w:rsidR="00563C54" w:rsidRDefault="00563C54" w:rsidP="00EE3436">
      <w:pPr>
        <w:spacing w:after="0" w:line="360" w:lineRule="auto"/>
      </w:pPr>
    </w:p>
    <w:p w:rsidR="000F4318" w:rsidRPr="001A29F8" w:rsidRDefault="000F4318" w:rsidP="00EE3436">
      <w:pPr>
        <w:spacing w:after="0" w:line="360" w:lineRule="auto"/>
        <w:ind w:firstLine="708"/>
        <w:jc w:val="both"/>
        <w:rPr>
          <w:rFonts w:ascii="Times New Roman" w:eastAsia="Calibri" w:hAnsi="Times New Roman" w:cs="Times New Roman"/>
          <w:sz w:val="24"/>
          <w:szCs w:val="24"/>
        </w:rPr>
      </w:pPr>
      <w:r w:rsidRPr="001A29F8">
        <w:rPr>
          <w:rFonts w:ascii="Times New Roman" w:eastAsia="Calibri" w:hAnsi="Times New Roman" w:cs="Times New Roman"/>
          <w:sz w:val="24"/>
          <w:szCs w:val="24"/>
        </w:rPr>
        <w:t>Методите, използвани от експертния екип по време на извършване на междинната оценка, могат да бъдат разделени в две категории:</w:t>
      </w:r>
    </w:p>
    <w:p w:rsidR="000F4318" w:rsidRPr="006C396E" w:rsidRDefault="000F4318" w:rsidP="00EE3436">
      <w:pPr>
        <w:spacing w:after="0" w:line="360" w:lineRule="auto"/>
        <w:ind w:firstLine="708"/>
        <w:jc w:val="both"/>
        <w:rPr>
          <w:rFonts w:ascii="Times New Roman" w:eastAsia="Calibri" w:hAnsi="Times New Roman" w:cs="Times New Roman"/>
          <w:b/>
          <w:i/>
          <w:color w:val="365F91" w:themeColor="accent1" w:themeShade="BF"/>
          <w:sz w:val="24"/>
          <w:szCs w:val="24"/>
        </w:rPr>
      </w:pPr>
      <w:r w:rsidRPr="006C396E">
        <w:rPr>
          <w:rFonts w:ascii="Times New Roman" w:eastAsia="Calibri" w:hAnsi="Times New Roman" w:cs="Times New Roman"/>
          <w:b/>
          <w:i/>
          <w:color w:val="365F91" w:themeColor="accent1" w:themeShade="BF"/>
          <w:sz w:val="24"/>
          <w:szCs w:val="24"/>
        </w:rPr>
        <w:t>Методи за събиране и документиране на информация</w:t>
      </w:r>
    </w:p>
    <w:p w:rsidR="00965FA1" w:rsidRPr="00965FA1" w:rsidRDefault="000F4318" w:rsidP="00EE3436">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Проучване на документи. </w:t>
      </w:r>
    </w:p>
    <w:p w:rsidR="000F4318" w:rsidRPr="001A29F8" w:rsidRDefault="000F4318" w:rsidP="00EE3436">
      <w:pPr>
        <w:autoSpaceDE w:val="0"/>
        <w:autoSpaceDN w:val="0"/>
        <w:adjustRightInd w:val="0"/>
        <w:spacing w:after="0" w:line="360" w:lineRule="auto"/>
        <w:ind w:left="36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Преглед на всички документи, свързани с прилагането на процеса на оценката – </w:t>
      </w:r>
      <w:r w:rsidR="00965FA1">
        <w:rPr>
          <w:rFonts w:ascii="Times New Roman" w:eastAsia="Times New Roman" w:hAnsi="Times New Roman" w:cs="Times New Roman"/>
          <w:color w:val="000000"/>
          <w:sz w:val="24"/>
          <w:szCs w:val="24"/>
          <w:lang w:eastAsia="bg-BG"/>
        </w:rPr>
        <w:t xml:space="preserve">областна стратегия за развитие, общински планове за развитие </w:t>
      </w:r>
      <w:r w:rsidR="00965FA1" w:rsidRPr="001A29F8">
        <w:rPr>
          <w:rFonts w:ascii="Times New Roman" w:eastAsia="Times New Roman" w:hAnsi="Times New Roman" w:cs="Times New Roman"/>
          <w:color w:val="000000"/>
          <w:sz w:val="24"/>
          <w:szCs w:val="24"/>
          <w:lang w:eastAsia="bg-BG"/>
        </w:rPr>
        <w:t xml:space="preserve">на общините в област </w:t>
      </w:r>
      <w:r w:rsidR="00965FA1">
        <w:rPr>
          <w:rFonts w:ascii="Times New Roman" w:eastAsia="Times New Roman" w:hAnsi="Times New Roman" w:cs="Times New Roman"/>
          <w:color w:val="000000"/>
          <w:sz w:val="24"/>
          <w:szCs w:val="24"/>
          <w:lang w:eastAsia="bg-BG"/>
        </w:rPr>
        <w:t>Ловеч</w:t>
      </w:r>
      <w:r w:rsidR="00965FA1" w:rsidRPr="001A29F8">
        <w:rPr>
          <w:rFonts w:ascii="Times New Roman" w:eastAsia="Times New Roman" w:hAnsi="Times New Roman" w:cs="Times New Roman"/>
          <w:color w:val="000000"/>
          <w:sz w:val="24"/>
          <w:szCs w:val="24"/>
          <w:lang w:eastAsia="bg-BG"/>
        </w:rPr>
        <w:t xml:space="preserve"> </w:t>
      </w:r>
      <w:r w:rsidR="00965FA1">
        <w:rPr>
          <w:rFonts w:ascii="Times New Roman" w:eastAsia="Times New Roman" w:hAnsi="Times New Roman" w:cs="Times New Roman"/>
          <w:color w:val="000000"/>
          <w:sz w:val="24"/>
          <w:szCs w:val="24"/>
          <w:lang w:eastAsia="bg-BG"/>
        </w:rPr>
        <w:t xml:space="preserve">(заедно с годишните доклади и междинни оценки за тяхното изпълнение), документи за секторно развитие на областта, информация за изпълнени проекти, </w:t>
      </w:r>
      <w:r w:rsidR="00965FA1" w:rsidRPr="001A29F8">
        <w:rPr>
          <w:rFonts w:ascii="Times New Roman" w:eastAsia="Times New Roman" w:hAnsi="Times New Roman" w:cs="Times New Roman"/>
          <w:color w:val="000000"/>
          <w:sz w:val="24"/>
          <w:szCs w:val="24"/>
          <w:lang w:eastAsia="bg-BG"/>
        </w:rPr>
        <w:t>ИСУН за периода 2007-2013 и 2014-2020</w:t>
      </w:r>
      <w:r w:rsidR="00965FA1">
        <w:rPr>
          <w:rFonts w:ascii="Times New Roman" w:eastAsia="Times New Roman" w:hAnsi="Times New Roman" w:cs="Times New Roman"/>
          <w:color w:val="000000"/>
          <w:sz w:val="24"/>
          <w:szCs w:val="24"/>
          <w:lang w:eastAsia="bg-BG"/>
        </w:rPr>
        <w:t xml:space="preserve">, </w:t>
      </w:r>
      <w:r w:rsidRPr="001A29F8">
        <w:rPr>
          <w:rFonts w:ascii="Times New Roman" w:eastAsia="Times New Roman" w:hAnsi="Times New Roman" w:cs="Times New Roman"/>
          <w:color w:val="000000"/>
          <w:sz w:val="24"/>
          <w:szCs w:val="24"/>
          <w:lang w:eastAsia="bg-BG"/>
        </w:rPr>
        <w:t xml:space="preserve">статистически данни, </w:t>
      </w:r>
      <w:r w:rsidR="00965FA1">
        <w:rPr>
          <w:rFonts w:ascii="Times New Roman" w:eastAsia="Times New Roman" w:hAnsi="Times New Roman" w:cs="Times New Roman"/>
          <w:color w:val="000000"/>
          <w:sz w:val="24"/>
          <w:szCs w:val="24"/>
          <w:lang w:eastAsia="bg-BG"/>
        </w:rPr>
        <w:t xml:space="preserve">справки от различни институции </w:t>
      </w:r>
      <w:r w:rsidRPr="001A29F8">
        <w:rPr>
          <w:rFonts w:ascii="Times New Roman" w:eastAsia="Times New Roman" w:hAnsi="Times New Roman" w:cs="Times New Roman"/>
          <w:color w:val="000000"/>
          <w:sz w:val="24"/>
          <w:szCs w:val="24"/>
          <w:lang w:eastAsia="bg-BG"/>
        </w:rPr>
        <w:t>и др.;</w:t>
      </w:r>
      <w:r w:rsidR="00965FA1">
        <w:rPr>
          <w:rFonts w:ascii="Times New Roman" w:eastAsia="Times New Roman" w:hAnsi="Times New Roman" w:cs="Times New Roman"/>
          <w:color w:val="000000"/>
          <w:sz w:val="24"/>
          <w:szCs w:val="24"/>
          <w:lang w:eastAsia="bg-BG"/>
        </w:rPr>
        <w:t xml:space="preserve"> </w:t>
      </w:r>
    </w:p>
    <w:p w:rsidR="00965FA1" w:rsidRDefault="000F4318" w:rsidP="00EE3436">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Метод на статистическата групировка. </w:t>
      </w:r>
    </w:p>
    <w:p w:rsidR="000F4318" w:rsidRPr="001A29F8" w:rsidRDefault="000F4318" w:rsidP="00EE3436">
      <w:pPr>
        <w:autoSpaceDE w:val="0"/>
        <w:autoSpaceDN w:val="0"/>
        <w:adjustRightInd w:val="0"/>
        <w:spacing w:after="0" w:line="360" w:lineRule="auto"/>
        <w:ind w:left="36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Оценителният екип използва този метод при групиране и подготовка за анализ на финансираните проекти, подпомагащи изпълнението на стратегическите целите и приоритетните област на ОСР;</w:t>
      </w:r>
    </w:p>
    <w:p w:rsidR="000F4318" w:rsidRPr="001A29F8" w:rsidRDefault="000F4318" w:rsidP="00EE3436">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Работни дискусии с представители на областна администрация </w:t>
      </w:r>
      <w:r w:rsidR="00A62B0B">
        <w:rPr>
          <w:rFonts w:ascii="Times New Roman" w:eastAsia="Times New Roman" w:hAnsi="Times New Roman" w:cs="Times New Roman"/>
          <w:bCs/>
          <w:color w:val="000000"/>
          <w:sz w:val="24"/>
          <w:szCs w:val="24"/>
          <w:lang w:eastAsia="bg-BG"/>
        </w:rPr>
        <w:t>Ловеч</w:t>
      </w:r>
      <w:r w:rsidRPr="001A29F8">
        <w:rPr>
          <w:rFonts w:ascii="Times New Roman" w:eastAsia="Times New Roman" w:hAnsi="Times New Roman" w:cs="Times New Roman"/>
          <w:color w:val="000000"/>
          <w:sz w:val="24"/>
          <w:szCs w:val="24"/>
          <w:lang w:eastAsia="bg-BG"/>
        </w:rPr>
        <w:t>, за постигане на по-точна оценка, базирана на реално изпълнени дейности и проекти.</w:t>
      </w:r>
    </w:p>
    <w:p w:rsidR="000F4318" w:rsidRPr="006C396E" w:rsidRDefault="000F4318" w:rsidP="00EE3436">
      <w:pPr>
        <w:spacing w:after="0" w:line="360" w:lineRule="auto"/>
        <w:ind w:firstLine="708"/>
        <w:jc w:val="both"/>
        <w:rPr>
          <w:rFonts w:ascii="Times New Roman" w:eastAsia="Calibri" w:hAnsi="Times New Roman" w:cs="Times New Roman"/>
          <w:b/>
          <w:i/>
          <w:color w:val="365F91" w:themeColor="accent1" w:themeShade="BF"/>
          <w:sz w:val="24"/>
          <w:szCs w:val="24"/>
        </w:rPr>
      </w:pPr>
      <w:r w:rsidRPr="006C396E">
        <w:rPr>
          <w:rFonts w:ascii="Times New Roman" w:eastAsia="Calibri" w:hAnsi="Times New Roman" w:cs="Times New Roman"/>
          <w:b/>
          <w:i/>
          <w:color w:val="365F91" w:themeColor="accent1" w:themeShade="BF"/>
          <w:sz w:val="24"/>
          <w:szCs w:val="24"/>
        </w:rPr>
        <w:t xml:space="preserve">Методи за анализ на събраната документация </w:t>
      </w:r>
    </w:p>
    <w:p w:rsidR="00965FA1" w:rsidRDefault="000F4318" w:rsidP="00EE3436">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Експертна оценка. </w:t>
      </w:r>
    </w:p>
    <w:p w:rsidR="000F4318" w:rsidRPr="001A29F8" w:rsidRDefault="000F4318" w:rsidP="00EE3436">
      <w:pPr>
        <w:autoSpaceDE w:val="0"/>
        <w:autoSpaceDN w:val="0"/>
        <w:adjustRightInd w:val="0"/>
        <w:spacing w:after="0" w:line="360" w:lineRule="auto"/>
        <w:ind w:left="36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Оценката на изпълнението на ОСР беше формално разделена между експертите по темите: „Техническа инфраструктура и екология”, </w:t>
      </w:r>
      <w:r w:rsidR="002B6F3B">
        <w:rPr>
          <w:rFonts w:ascii="Times New Roman" w:eastAsia="Times New Roman" w:hAnsi="Times New Roman" w:cs="Times New Roman"/>
          <w:color w:val="000000"/>
          <w:sz w:val="24"/>
          <w:szCs w:val="24"/>
          <w:lang w:eastAsia="bg-BG"/>
        </w:rPr>
        <w:t xml:space="preserve">„Развитие на човешкия капитал“,  </w:t>
      </w:r>
      <w:r w:rsidR="002B6F3B" w:rsidRPr="001A29F8">
        <w:rPr>
          <w:rFonts w:ascii="Times New Roman" w:eastAsia="Times New Roman" w:hAnsi="Times New Roman" w:cs="Times New Roman"/>
          <w:color w:val="000000"/>
          <w:sz w:val="24"/>
          <w:szCs w:val="24"/>
          <w:lang w:eastAsia="bg-BG"/>
        </w:rPr>
        <w:t>„Социални дейности, здравеопазване, образование, култура и спорт”</w:t>
      </w:r>
      <w:r w:rsidR="002B6F3B">
        <w:rPr>
          <w:rFonts w:ascii="Times New Roman" w:eastAsia="Times New Roman" w:hAnsi="Times New Roman" w:cs="Times New Roman"/>
          <w:color w:val="000000"/>
          <w:sz w:val="24"/>
          <w:szCs w:val="24"/>
          <w:lang w:eastAsia="bg-BG"/>
        </w:rPr>
        <w:t>,</w:t>
      </w:r>
      <w:r w:rsidR="002B6F3B" w:rsidRPr="001A29F8">
        <w:rPr>
          <w:rFonts w:ascii="Times New Roman" w:eastAsia="Times New Roman" w:hAnsi="Times New Roman" w:cs="Times New Roman"/>
          <w:color w:val="000000"/>
          <w:sz w:val="24"/>
          <w:szCs w:val="24"/>
          <w:lang w:eastAsia="bg-BG"/>
        </w:rPr>
        <w:t xml:space="preserve"> </w:t>
      </w:r>
      <w:r w:rsidRPr="001A29F8">
        <w:rPr>
          <w:rFonts w:ascii="Times New Roman" w:eastAsia="Times New Roman" w:hAnsi="Times New Roman" w:cs="Times New Roman"/>
          <w:color w:val="000000"/>
          <w:sz w:val="24"/>
          <w:szCs w:val="24"/>
          <w:lang w:eastAsia="bg-BG"/>
        </w:rPr>
        <w:t>„Икономическо развитие</w:t>
      </w:r>
      <w:r w:rsidR="002B6F3B">
        <w:rPr>
          <w:rFonts w:ascii="Times New Roman" w:eastAsia="Times New Roman" w:hAnsi="Times New Roman" w:cs="Times New Roman"/>
          <w:color w:val="000000"/>
          <w:sz w:val="24"/>
          <w:szCs w:val="24"/>
          <w:lang w:eastAsia="bg-BG"/>
        </w:rPr>
        <w:t>, конкурентоспособност</w:t>
      </w:r>
      <w:r w:rsidRPr="001A29F8">
        <w:rPr>
          <w:rFonts w:ascii="Times New Roman" w:eastAsia="Times New Roman" w:hAnsi="Times New Roman" w:cs="Times New Roman"/>
          <w:color w:val="000000"/>
          <w:sz w:val="24"/>
          <w:szCs w:val="24"/>
          <w:lang w:eastAsia="bg-BG"/>
        </w:rPr>
        <w:t xml:space="preserve"> и туризъм”</w:t>
      </w:r>
      <w:r w:rsidR="002B6F3B">
        <w:rPr>
          <w:rFonts w:ascii="Times New Roman" w:eastAsia="Times New Roman" w:hAnsi="Times New Roman" w:cs="Times New Roman"/>
          <w:color w:val="000000"/>
          <w:sz w:val="24"/>
          <w:szCs w:val="24"/>
          <w:lang w:eastAsia="bg-BG"/>
        </w:rPr>
        <w:t xml:space="preserve"> и „Селско и горско стопанство“</w:t>
      </w:r>
      <w:r w:rsidRPr="001A29F8">
        <w:rPr>
          <w:rFonts w:ascii="Times New Roman" w:eastAsia="Times New Roman" w:hAnsi="Times New Roman" w:cs="Times New Roman"/>
          <w:color w:val="000000"/>
          <w:sz w:val="24"/>
          <w:szCs w:val="24"/>
          <w:lang w:eastAsia="bg-BG"/>
        </w:rPr>
        <w:t xml:space="preserve">. Експертите оформиха свои становища, от които бяха изведени обобщените резултати от оценката; </w:t>
      </w:r>
    </w:p>
    <w:p w:rsidR="001B4153" w:rsidRDefault="000F4318" w:rsidP="00EE3436">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Качествен анализ. </w:t>
      </w:r>
    </w:p>
    <w:p w:rsidR="000F4318" w:rsidRPr="001A29F8" w:rsidRDefault="000F4318" w:rsidP="00EE3436">
      <w:pPr>
        <w:autoSpaceDE w:val="0"/>
        <w:autoSpaceDN w:val="0"/>
        <w:adjustRightInd w:val="0"/>
        <w:spacing w:after="0" w:line="360" w:lineRule="auto"/>
        <w:ind w:left="360"/>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Този метод беше използван за изследване на качеството на изпълнение на специфичните цели и приоритетните области. По този начин са идентифицирани нуждите от подобрения и/или корекции, на база на което Изпълнителят предлага изводи и препоръки. </w:t>
      </w:r>
    </w:p>
    <w:p w:rsidR="000F4318" w:rsidRPr="001A29F8" w:rsidRDefault="000F4318" w:rsidP="00EE3436">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Съдържателен анализ на документация – използвани са следните източници на информация: </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Областна стратегия за развитие на област </w:t>
      </w:r>
      <w:r w:rsidR="00A62B0B">
        <w:rPr>
          <w:rFonts w:ascii="Times New Roman" w:eastAsia="Times New Roman" w:hAnsi="Times New Roman" w:cs="Times New Roman"/>
          <w:color w:val="000000"/>
          <w:sz w:val="24"/>
          <w:szCs w:val="24"/>
          <w:lang w:eastAsia="bg-BG"/>
        </w:rPr>
        <w:t>Ловеч</w:t>
      </w:r>
      <w:r w:rsidRPr="001A29F8">
        <w:rPr>
          <w:rFonts w:ascii="Times New Roman" w:eastAsia="Times New Roman" w:hAnsi="Times New Roman" w:cs="Times New Roman"/>
          <w:color w:val="000000"/>
          <w:sz w:val="24"/>
          <w:szCs w:val="24"/>
          <w:lang w:eastAsia="bg-BG"/>
        </w:rPr>
        <w:t xml:space="preserve"> за периода 2014-2020 г.;</w:t>
      </w:r>
    </w:p>
    <w:p w:rsidR="000F4318" w:rsidRPr="00EE3436"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EE3436">
        <w:rPr>
          <w:rFonts w:ascii="Times New Roman" w:eastAsia="Times New Roman" w:hAnsi="Times New Roman" w:cs="Times New Roman"/>
          <w:color w:val="000000"/>
          <w:sz w:val="24"/>
          <w:szCs w:val="24"/>
          <w:lang w:eastAsia="bg-BG"/>
        </w:rPr>
        <w:t xml:space="preserve">Общински планове за развитие на общините в област </w:t>
      </w:r>
      <w:r w:rsidR="00A62B0B" w:rsidRPr="00EE3436">
        <w:rPr>
          <w:rFonts w:ascii="Times New Roman" w:eastAsia="Times New Roman" w:hAnsi="Times New Roman" w:cs="Times New Roman"/>
          <w:color w:val="000000"/>
          <w:sz w:val="24"/>
          <w:szCs w:val="24"/>
          <w:lang w:eastAsia="bg-BG"/>
        </w:rPr>
        <w:t>Ловеч</w:t>
      </w:r>
      <w:r w:rsidR="00AD1B4D" w:rsidRPr="00EE3436">
        <w:rPr>
          <w:rFonts w:ascii="Times New Roman" w:eastAsia="Times New Roman" w:hAnsi="Times New Roman" w:cs="Times New Roman"/>
          <w:color w:val="000000"/>
          <w:sz w:val="24"/>
          <w:szCs w:val="24"/>
          <w:lang w:eastAsia="bg-BG"/>
        </w:rPr>
        <w:t xml:space="preserve"> за периода 2014-2020 г.</w:t>
      </w:r>
      <w:r w:rsidR="00EE3436" w:rsidRPr="00EE3436">
        <w:rPr>
          <w:rFonts w:ascii="Times New Roman" w:eastAsia="Times New Roman" w:hAnsi="Times New Roman" w:cs="Times New Roman"/>
          <w:color w:val="000000"/>
          <w:sz w:val="24"/>
          <w:szCs w:val="24"/>
          <w:lang w:eastAsia="bg-BG"/>
        </w:rPr>
        <w:t xml:space="preserve">, </w:t>
      </w:r>
      <w:r w:rsidR="00EE3436">
        <w:rPr>
          <w:rFonts w:ascii="Times New Roman" w:eastAsia="Times New Roman" w:hAnsi="Times New Roman" w:cs="Times New Roman"/>
          <w:color w:val="000000"/>
          <w:sz w:val="24"/>
          <w:szCs w:val="24"/>
          <w:lang w:eastAsia="bg-BG"/>
        </w:rPr>
        <w:t>г</w:t>
      </w:r>
      <w:r w:rsidRPr="00EE3436">
        <w:rPr>
          <w:rFonts w:ascii="Times New Roman" w:eastAsia="Times New Roman" w:hAnsi="Times New Roman" w:cs="Times New Roman"/>
          <w:color w:val="000000"/>
          <w:sz w:val="24"/>
          <w:szCs w:val="24"/>
          <w:lang w:eastAsia="bg-BG"/>
        </w:rPr>
        <w:t xml:space="preserve">одишни доклади за наблюдение </w:t>
      </w:r>
      <w:r w:rsidR="00AD1B4D" w:rsidRPr="00EE3436">
        <w:rPr>
          <w:rFonts w:ascii="Times New Roman" w:eastAsia="Times New Roman" w:hAnsi="Times New Roman" w:cs="Times New Roman"/>
          <w:color w:val="000000"/>
          <w:sz w:val="24"/>
          <w:szCs w:val="24"/>
          <w:lang w:eastAsia="bg-BG"/>
        </w:rPr>
        <w:t xml:space="preserve">и междинни оценки </w:t>
      </w:r>
      <w:r w:rsidRPr="00EE3436">
        <w:rPr>
          <w:rFonts w:ascii="Times New Roman" w:eastAsia="Times New Roman" w:hAnsi="Times New Roman" w:cs="Times New Roman"/>
          <w:color w:val="000000"/>
          <w:sz w:val="24"/>
          <w:szCs w:val="24"/>
          <w:lang w:eastAsia="bg-BG"/>
        </w:rPr>
        <w:t xml:space="preserve">на изпълнението на ОПР на общините в област </w:t>
      </w:r>
      <w:r w:rsidR="00A62B0B" w:rsidRPr="00EE3436">
        <w:rPr>
          <w:rFonts w:ascii="Times New Roman" w:eastAsia="Times New Roman" w:hAnsi="Times New Roman" w:cs="Times New Roman"/>
          <w:color w:val="000000"/>
          <w:sz w:val="24"/>
          <w:szCs w:val="24"/>
          <w:lang w:eastAsia="bg-BG"/>
        </w:rPr>
        <w:t>Ловеч</w:t>
      </w:r>
      <w:r w:rsidRPr="00EE3436">
        <w:rPr>
          <w:rFonts w:ascii="Times New Roman" w:eastAsia="Times New Roman" w:hAnsi="Times New Roman" w:cs="Times New Roman"/>
          <w:color w:val="000000"/>
          <w:sz w:val="24"/>
          <w:szCs w:val="24"/>
          <w:lang w:eastAsia="bg-BG"/>
        </w:rPr>
        <w:t>;</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strike/>
          <w:sz w:val="24"/>
          <w:szCs w:val="24"/>
          <w:lang w:eastAsia="bg-BG"/>
        </w:rPr>
      </w:pPr>
      <w:r w:rsidRPr="001A29F8">
        <w:rPr>
          <w:rFonts w:ascii="Times New Roman" w:eastAsia="Times New Roman" w:hAnsi="Times New Roman" w:cs="Times New Roman"/>
          <w:sz w:val="24"/>
          <w:szCs w:val="24"/>
          <w:lang w:eastAsia="bg-BG"/>
        </w:rPr>
        <w:lastRenderedPageBreak/>
        <w:t xml:space="preserve">областни програми за секторно развитие; </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strike/>
          <w:sz w:val="24"/>
          <w:szCs w:val="24"/>
          <w:lang w:eastAsia="bg-BG"/>
        </w:rPr>
      </w:pPr>
      <w:r w:rsidRPr="001A29F8">
        <w:rPr>
          <w:rFonts w:ascii="Times New Roman" w:eastAsia="Times New Roman" w:hAnsi="Times New Roman" w:cs="Times New Roman"/>
          <w:sz w:val="24"/>
          <w:szCs w:val="24"/>
          <w:lang w:eastAsia="bg-BG"/>
        </w:rPr>
        <w:t xml:space="preserve">доклади за изпълнението на годишните цели на Областна администрация </w:t>
      </w:r>
      <w:r w:rsidR="00A62B0B">
        <w:rPr>
          <w:rFonts w:ascii="Times New Roman" w:eastAsia="Times New Roman" w:hAnsi="Times New Roman" w:cs="Times New Roman"/>
          <w:sz w:val="24"/>
          <w:szCs w:val="24"/>
          <w:lang w:eastAsia="bg-BG"/>
        </w:rPr>
        <w:t>Ловеч</w:t>
      </w:r>
      <w:r w:rsidRPr="001A29F8">
        <w:rPr>
          <w:rFonts w:ascii="Times New Roman" w:eastAsia="Times New Roman" w:hAnsi="Times New Roman" w:cs="Times New Roman"/>
          <w:sz w:val="24"/>
          <w:szCs w:val="24"/>
          <w:lang w:eastAsia="bg-BG"/>
        </w:rPr>
        <w:t>;</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НСИ; </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Информационна система за управление и наблюдение на структурните инструменти на ЕС в България (ИСУН) за периода 2007-2013 и 2014-2020.</w:t>
      </w:r>
    </w:p>
    <w:p w:rsidR="000F4318" w:rsidRPr="001A29F8" w:rsidRDefault="000F4318" w:rsidP="00EE3436">
      <w:pPr>
        <w:spacing w:after="0" w:line="360" w:lineRule="auto"/>
        <w:ind w:firstLine="680"/>
        <w:jc w:val="both"/>
        <w:rPr>
          <w:rFonts w:ascii="Times New Roman" w:eastAsia="Times New Roman" w:hAnsi="Times New Roman" w:cs="Times New Roman"/>
          <w:sz w:val="24"/>
          <w:szCs w:val="24"/>
          <w:lang w:eastAsia="bg-BG"/>
        </w:rPr>
      </w:pPr>
      <w:r w:rsidRPr="001A29F8">
        <w:rPr>
          <w:rFonts w:ascii="Times New Roman" w:eastAsia="Times New Roman" w:hAnsi="Times New Roman" w:cs="Times New Roman"/>
          <w:sz w:val="24"/>
          <w:szCs w:val="24"/>
          <w:lang w:eastAsia="bg-BG"/>
        </w:rPr>
        <w:t>На база на така описаните методи експертният екип по разработване на оценката, извърши процесът по междинна оценка в следните етапи:</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Подготвителен етап за събиране на емпирични данни от различни източници;</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Комуникация и допълване на събраната информация от общинските администрации в област </w:t>
      </w:r>
      <w:r w:rsidR="00A62B0B">
        <w:rPr>
          <w:rFonts w:ascii="Times New Roman" w:eastAsia="Times New Roman" w:hAnsi="Times New Roman" w:cs="Times New Roman"/>
          <w:color w:val="000000"/>
          <w:sz w:val="24"/>
          <w:szCs w:val="24"/>
          <w:lang w:eastAsia="bg-BG"/>
        </w:rPr>
        <w:t>Ловеч</w:t>
      </w:r>
      <w:r w:rsidRPr="001A29F8">
        <w:rPr>
          <w:rFonts w:ascii="Times New Roman" w:eastAsia="Times New Roman" w:hAnsi="Times New Roman" w:cs="Times New Roman"/>
          <w:color w:val="000000"/>
          <w:sz w:val="24"/>
          <w:szCs w:val="24"/>
          <w:lang w:eastAsia="bg-BG"/>
        </w:rPr>
        <w:t>;</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Анализ на Областна стратегия за развитие на област </w:t>
      </w:r>
      <w:r w:rsidR="00A62B0B">
        <w:rPr>
          <w:rFonts w:ascii="Times New Roman" w:eastAsia="Times New Roman" w:hAnsi="Times New Roman" w:cs="Times New Roman"/>
          <w:color w:val="000000"/>
          <w:sz w:val="24"/>
          <w:szCs w:val="24"/>
          <w:lang w:eastAsia="bg-BG"/>
        </w:rPr>
        <w:t>Ловеч</w:t>
      </w:r>
      <w:r w:rsidRPr="001A29F8">
        <w:rPr>
          <w:rFonts w:ascii="Times New Roman" w:eastAsia="Times New Roman" w:hAnsi="Times New Roman" w:cs="Times New Roman"/>
          <w:color w:val="000000"/>
          <w:sz w:val="24"/>
          <w:szCs w:val="24"/>
          <w:lang w:eastAsia="bg-BG"/>
        </w:rPr>
        <w:t xml:space="preserve"> за периода 2014-2020 г., анализ на събраната емпирична информация чрез количествени методи, методите на сравнителния анализ и др.; </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Изготвяне и структуриране на доклада за междинна оценка;</w:t>
      </w:r>
    </w:p>
    <w:p w:rsidR="000F4318" w:rsidRPr="001A29F8" w:rsidRDefault="000F4318" w:rsidP="00EE3436">
      <w:pPr>
        <w:numPr>
          <w:ilvl w:val="1"/>
          <w:numId w:val="4"/>
        </w:numPr>
        <w:autoSpaceDE w:val="0"/>
        <w:autoSpaceDN w:val="0"/>
        <w:adjustRightInd w:val="0"/>
        <w:spacing w:after="0" w:line="360" w:lineRule="auto"/>
        <w:ind w:left="1134" w:hanging="357"/>
        <w:jc w:val="both"/>
        <w:rPr>
          <w:rFonts w:ascii="Times New Roman" w:eastAsia="Times New Roman" w:hAnsi="Times New Roman" w:cs="Times New Roman"/>
          <w:color w:val="000000"/>
          <w:sz w:val="24"/>
          <w:szCs w:val="24"/>
          <w:lang w:eastAsia="bg-BG"/>
        </w:rPr>
      </w:pPr>
      <w:r w:rsidRPr="001A29F8">
        <w:rPr>
          <w:rFonts w:ascii="Times New Roman" w:eastAsia="Times New Roman" w:hAnsi="Times New Roman" w:cs="Times New Roman"/>
          <w:color w:val="000000"/>
          <w:sz w:val="24"/>
          <w:szCs w:val="24"/>
          <w:lang w:eastAsia="bg-BG"/>
        </w:rPr>
        <w:t xml:space="preserve">Представяне на резултатите на областна администрация </w:t>
      </w:r>
      <w:r w:rsidR="00A62B0B">
        <w:rPr>
          <w:rFonts w:ascii="Times New Roman" w:eastAsia="Times New Roman" w:hAnsi="Times New Roman" w:cs="Times New Roman"/>
          <w:color w:val="000000"/>
          <w:sz w:val="24"/>
          <w:szCs w:val="24"/>
          <w:lang w:eastAsia="bg-BG"/>
        </w:rPr>
        <w:t>Ловеч</w:t>
      </w:r>
      <w:r w:rsidRPr="001A29F8">
        <w:rPr>
          <w:rFonts w:ascii="Times New Roman" w:eastAsia="Times New Roman" w:hAnsi="Times New Roman" w:cs="Times New Roman"/>
          <w:color w:val="000000"/>
          <w:sz w:val="24"/>
          <w:szCs w:val="24"/>
          <w:lang w:eastAsia="bg-BG"/>
        </w:rPr>
        <w:t>.</w:t>
      </w:r>
    </w:p>
    <w:p w:rsidR="000F4318" w:rsidRPr="001A29F8" w:rsidRDefault="000F4318" w:rsidP="00EE3436">
      <w:pPr>
        <w:spacing w:after="0" w:line="360" w:lineRule="auto"/>
        <w:ind w:firstLine="680"/>
        <w:jc w:val="both"/>
        <w:rPr>
          <w:rFonts w:ascii="Times New Roman" w:eastAsia="Times New Roman" w:hAnsi="Times New Roman" w:cs="Times New Roman"/>
          <w:sz w:val="24"/>
          <w:szCs w:val="24"/>
          <w:lang w:eastAsia="bg-BG"/>
        </w:rPr>
      </w:pPr>
      <w:r w:rsidRPr="001A29F8">
        <w:rPr>
          <w:rFonts w:ascii="Times New Roman" w:eastAsia="Times New Roman" w:hAnsi="Times New Roman" w:cs="Times New Roman"/>
          <w:sz w:val="24"/>
          <w:szCs w:val="24"/>
          <w:lang w:eastAsia="bg-BG"/>
        </w:rPr>
        <w:t xml:space="preserve">При изготвяне на настоящата междинна оценка на изпълнението на ОСР на област </w:t>
      </w:r>
      <w:r w:rsidR="00A62B0B">
        <w:rPr>
          <w:rFonts w:ascii="Times New Roman" w:eastAsia="Times New Roman" w:hAnsi="Times New Roman" w:cs="Times New Roman"/>
          <w:sz w:val="24"/>
          <w:szCs w:val="24"/>
          <w:lang w:eastAsia="bg-BG"/>
        </w:rPr>
        <w:t>Ловеч</w:t>
      </w:r>
      <w:r w:rsidRPr="001A29F8">
        <w:rPr>
          <w:rFonts w:ascii="Times New Roman" w:eastAsia="Times New Roman" w:hAnsi="Times New Roman" w:cs="Times New Roman"/>
          <w:bCs/>
          <w:color w:val="000000"/>
          <w:sz w:val="24"/>
          <w:szCs w:val="24"/>
        </w:rPr>
        <w:t xml:space="preserve"> </w:t>
      </w:r>
      <w:r w:rsidRPr="001A29F8">
        <w:rPr>
          <w:rFonts w:ascii="Times New Roman" w:eastAsia="Times New Roman" w:hAnsi="Times New Roman" w:cs="Times New Roman"/>
          <w:sz w:val="24"/>
          <w:szCs w:val="24"/>
          <w:lang w:eastAsia="bg-BG"/>
        </w:rPr>
        <w:t>са използвани следните изходни принципи:</w:t>
      </w:r>
    </w:p>
    <w:p w:rsidR="000F4318" w:rsidRPr="001A29F8" w:rsidRDefault="000F4318" w:rsidP="00EE3436">
      <w:pPr>
        <w:numPr>
          <w:ilvl w:val="0"/>
          <w:numId w:val="10"/>
        </w:numPr>
        <w:spacing w:after="0" w:line="360" w:lineRule="auto"/>
        <w:jc w:val="both"/>
        <w:rPr>
          <w:rFonts w:ascii="Times New Roman" w:eastAsia="Calibri" w:hAnsi="Times New Roman" w:cs="Times New Roman"/>
          <w:sz w:val="24"/>
          <w:szCs w:val="24"/>
          <w:lang w:eastAsia="bg-BG"/>
        </w:rPr>
      </w:pPr>
      <w:r w:rsidRPr="001A29F8">
        <w:rPr>
          <w:rFonts w:ascii="Times New Roman" w:eastAsia="Calibri" w:hAnsi="Times New Roman" w:cs="Times New Roman"/>
          <w:i/>
          <w:sz w:val="24"/>
          <w:szCs w:val="24"/>
          <w:lang w:eastAsia="bg-BG"/>
        </w:rPr>
        <w:t>реализъм</w:t>
      </w:r>
      <w:r w:rsidRPr="001A29F8">
        <w:rPr>
          <w:rFonts w:ascii="Times New Roman" w:eastAsia="Calibri" w:hAnsi="Times New Roman" w:cs="Times New Roman"/>
          <w:sz w:val="24"/>
          <w:szCs w:val="24"/>
          <w:lang w:eastAsia="bg-BG"/>
        </w:rPr>
        <w:t xml:space="preserve"> – формулираните стратегически цели и приоритети следва да са реалистични, което означава, че трябва да бъдат съобразени не само с наличния потенциал за развитие, но и с фактори като институционална среда, тенденции в развитието на територията, ниво на подготовка на кадрите, финансова обезпеченост и редица други, които могат да изиграят ролята на задържащи фактори за ефективно усвояване на потенциала на общината и нейните сравнителни предимства;  </w:t>
      </w:r>
    </w:p>
    <w:p w:rsidR="000F4318" w:rsidRPr="001A29F8" w:rsidRDefault="000F4318" w:rsidP="00EE3436">
      <w:pPr>
        <w:numPr>
          <w:ilvl w:val="0"/>
          <w:numId w:val="10"/>
        </w:numPr>
        <w:spacing w:after="0" w:line="360" w:lineRule="auto"/>
        <w:jc w:val="both"/>
        <w:rPr>
          <w:rFonts w:ascii="Times New Roman" w:eastAsia="Calibri" w:hAnsi="Times New Roman" w:cs="Times New Roman"/>
          <w:sz w:val="24"/>
          <w:szCs w:val="24"/>
          <w:lang w:eastAsia="bg-BG"/>
        </w:rPr>
      </w:pPr>
      <w:r w:rsidRPr="001A29F8">
        <w:rPr>
          <w:rFonts w:ascii="Times New Roman" w:eastAsia="Calibri" w:hAnsi="Times New Roman" w:cs="Times New Roman"/>
          <w:i/>
          <w:sz w:val="24"/>
          <w:szCs w:val="24"/>
          <w:lang w:eastAsia="bg-BG"/>
        </w:rPr>
        <w:t>устойчивост</w:t>
      </w:r>
      <w:r w:rsidRPr="001A29F8">
        <w:rPr>
          <w:rFonts w:ascii="Times New Roman" w:eastAsia="Calibri" w:hAnsi="Times New Roman" w:cs="Times New Roman"/>
          <w:sz w:val="24"/>
          <w:szCs w:val="24"/>
          <w:lang w:eastAsia="bg-BG"/>
        </w:rPr>
        <w:t xml:space="preserve"> – в плана не бива да се съдържат задачи и конкретни дейности, чието решаване има изолиран, оперативен и кампаниен характер, с краткосрочен и бързо „затихващ” във времето ефект върху изпълнението на формулираните цели в стратегията;</w:t>
      </w:r>
    </w:p>
    <w:p w:rsidR="000F4318" w:rsidRPr="001A29F8" w:rsidRDefault="000F4318" w:rsidP="00EE3436">
      <w:pPr>
        <w:numPr>
          <w:ilvl w:val="0"/>
          <w:numId w:val="10"/>
        </w:numPr>
        <w:spacing w:after="0" w:line="360" w:lineRule="auto"/>
        <w:jc w:val="both"/>
        <w:rPr>
          <w:rFonts w:ascii="Times New Roman" w:eastAsia="Calibri" w:hAnsi="Times New Roman" w:cs="Times New Roman"/>
          <w:sz w:val="24"/>
          <w:szCs w:val="24"/>
          <w:lang w:eastAsia="bg-BG"/>
        </w:rPr>
      </w:pPr>
      <w:r w:rsidRPr="001A29F8">
        <w:rPr>
          <w:rFonts w:ascii="Times New Roman" w:eastAsia="Calibri" w:hAnsi="Times New Roman" w:cs="Times New Roman"/>
          <w:i/>
          <w:sz w:val="24"/>
          <w:szCs w:val="24"/>
          <w:lang w:eastAsia="bg-BG"/>
        </w:rPr>
        <w:t>приемственост</w:t>
      </w:r>
      <w:r w:rsidRPr="001A29F8">
        <w:rPr>
          <w:rFonts w:ascii="Times New Roman" w:eastAsia="Calibri" w:hAnsi="Times New Roman" w:cs="Times New Roman"/>
          <w:sz w:val="24"/>
          <w:szCs w:val="24"/>
          <w:lang w:eastAsia="bg-BG"/>
        </w:rPr>
        <w:t xml:space="preserve"> – следва да има осигурена приемственост с действащия стратегически документи от по-горно ниво, както и с О</w:t>
      </w:r>
      <w:r w:rsidR="00AD1B4D">
        <w:rPr>
          <w:rFonts w:ascii="Times New Roman" w:eastAsia="Calibri" w:hAnsi="Times New Roman" w:cs="Times New Roman"/>
          <w:sz w:val="24"/>
          <w:szCs w:val="24"/>
          <w:lang w:eastAsia="bg-BG"/>
        </w:rPr>
        <w:t>С</w:t>
      </w:r>
      <w:r w:rsidRPr="001A29F8">
        <w:rPr>
          <w:rFonts w:ascii="Times New Roman" w:eastAsia="Calibri" w:hAnsi="Times New Roman" w:cs="Times New Roman"/>
          <w:sz w:val="24"/>
          <w:szCs w:val="24"/>
          <w:lang w:eastAsia="bg-BG"/>
        </w:rPr>
        <w:t>Р на об</w:t>
      </w:r>
      <w:r w:rsidR="00AD1B4D">
        <w:rPr>
          <w:rFonts w:ascii="Times New Roman" w:eastAsia="Calibri" w:hAnsi="Times New Roman" w:cs="Times New Roman"/>
          <w:sz w:val="24"/>
          <w:szCs w:val="24"/>
          <w:lang w:eastAsia="bg-BG"/>
        </w:rPr>
        <w:t>ласт Ловеч</w:t>
      </w:r>
      <w:r w:rsidRPr="001A29F8">
        <w:rPr>
          <w:rFonts w:ascii="Times New Roman" w:eastAsia="Calibri" w:hAnsi="Times New Roman" w:cs="Times New Roman"/>
          <w:sz w:val="24"/>
          <w:szCs w:val="24"/>
          <w:lang w:eastAsia="bg-BG"/>
        </w:rPr>
        <w:t xml:space="preserve"> от предния програмен период; </w:t>
      </w:r>
    </w:p>
    <w:p w:rsidR="000F4318" w:rsidRPr="001A29F8" w:rsidRDefault="000F4318" w:rsidP="00EE3436">
      <w:pPr>
        <w:numPr>
          <w:ilvl w:val="0"/>
          <w:numId w:val="10"/>
        </w:numPr>
        <w:spacing w:after="0" w:line="360" w:lineRule="auto"/>
        <w:jc w:val="both"/>
        <w:rPr>
          <w:rFonts w:ascii="Times New Roman" w:eastAsia="Calibri" w:hAnsi="Times New Roman" w:cs="Times New Roman"/>
          <w:sz w:val="24"/>
          <w:szCs w:val="24"/>
          <w:lang w:eastAsia="bg-BG"/>
        </w:rPr>
      </w:pPr>
      <w:r w:rsidRPr="001A29F8">
        <w:rPr>
          <w:rFonts w:ascii="Times New Roman" w:eastAsia="Calibri" w:hAnsi="Times New Roman" w:cs="Times New Roman"/>
          <w:i/>
          <w:sz w:val="24"/>
          <w:szCs w:val="24"/>
          <w:lang w:eastAsia="bg-BG"/>
        </w:rPr>
        <w:t>партньорство</w:t>
      </w:r>
      <w:r w:rsidRPr="001A29F8">
        <w:rPr>
          <w:rFonts w:ascii="Times New Roman" w:eastAsia="Calibri" w:hAnsi="Times New Roman" w:cs="Times New Roman"/>
          <w:sz w:val="24"/>
          <w:szCs w:val="24"/>
          <w:lang w:eastAsia="bg-BG"/>
        </w:rPr>
        <w:t xml:space="preserve"> – </w:t>
      </w:r>
      <w:r w:rsidR="00D6105A">
        <w:rPr>
          <w:rFonts w:ascii="Times New Roman" w:eastAsia="Calibri" w:hAnsi="Times New Roman" w:cs="Times New Roman"/>
          <w:sz w:val="24"/>
          <w:szCs w:val="24"/>
          <w:lang w:eastAsia="bg-BG"/>
        </w:rPr>
        <w:t>областната стратегия</w:t>
      </w:r>
      <w:r w:rsidRPr="001A29F8">
        <w:rPr>
          <w:rFonts w:ascii="Times New Roman" w:eastAsia="Calibri" w:hAnsi="Times New Roman" w:cs="Times New Roman"/>
          <w:sz w:val="24"/>
          <w:szCs w:val="24"/>
          <w:lang w:eastAsia="bg-BG"/>
        </w:rPr>
        <w:t xml:space="preserve"> за развитие трябва да бъде резултат от съвместните усилия на всички заинтересовани страни – представители на държавните и общинските власти, на бизнеса, на държавните институции и на неправителствения сектор.</w:t>
      </w:r>
    </w:p>
    <w:p w:rsidR="00AD1B4D" w:rsidRDefault="00AD1B4D">
      <w:r>
        <w:br w:type="page"/>
      </w:r>
    </w:p>
    <w:p w:rsidR="00EB22C0" w:rsidRDefault="00EB22C0"/>
    <w:p w:rsidR="00EB22C0" w:rsidRPr="00EB22C0" w:rsidRDefault="00EB22C0" w:rsidP="00A767B6">
      <w:pPr>
        <w:pStyle w:val="Heading1"/>
        <w:numPr>
          <w:ilvl w:val="0"/>
          <w:numId w:val="11"/>
        </w:numPr>
        <w:spacing w:before="0" w:after="120" w:line="240" w:lineRule="auto"/>
        <w:rPr>
          <w:rFonts w:eastAsia="Times New Roman"/>
        </w:rPr>
      </w:pPr>
      <w:bookmarkStart w:id="3" w:name="_Toc510702804"/>
      <w:r w:rsidRPr="00EB22C0">
        <w:rPr>
          <w:rFonts w:eastAsia="Times New Roman"/>
        </w:rPr>
        <w:t>Оценка на първоначалните резултати от изпълнението на ОСР</w:t>
      </w:r>
      <w:r>
        <w:rPr>
          <w:rFonts w:eastAsia="Times New Roman"/>
        </w:rPr>
        <w:t xml:space="preserve"> на област Ловеч за периода 2014-2016г.</w:t>
      </w:r>
      <w:bookmarkEnd w:id="3"/>
    </w:p>
    <w:p w:rsidR="009F621A" w:rsidRPr="000B34BA" w:rsidRDefault="009F621A" w:rsidP="000B34BA">
      <w:pPr>
        <w:spacing w:after="0" w:line="360" w:lineRule="auto"/>
        <w:ind w:firstLine="680"/>
        <w:jc w:val="both"/>
        <w:rPr>
          <w:rFonts w:ascii="Times New Roman" w:eastAsia="Times New Roman" w:hAnsi="Times New Roman" w:cs="Times New Roman"/>
          <w:sz w:val="24"/>
          <w:szCs w:val="24"/>
          <w:lang w:eastAsia="bg-BG"/>
        </w:rPr>
      </w:pPr>
    </w:p>
    <w:p w:rsidR="000F4318" w:rsidRPr="000B34BA" w:rsidRDefault="00EE3436" w:rsidP="000B34BA">
      <w:pPr>
        <w:spacing w:after="0" w:line="360" w:lineRule="auto"/>
        <w:ind w:firstLine="680"/>
        <w:jc w:val="both"/>
        <w:rPr>
          <w:rFonts w:ascii="Times New Roman" w:eastAsia="Times New Roman" w:hAnsi="Times New Roman" w:cs="Times New Roman"/>
          <w:sz w:val="24"/>
          <w:szCs w:val="24"/>
          <w:lang w:eastAsia="bg-BG"/>
        </w:rPr>
      </w:pPr>
      <w:r w:rsidRPr="000B34BA">
        <w:rPr>
          <w:rFonts w:ascii="Times New Roman" w:eastAsia="Times New Roman" w:hAnsi="Times New Roman" w:cs="Times New Roman"/>
          <w:sz w:val="24"/>
          <w:szCs w:val="24"/>
          <w:lang w:eastAsia="bg-BG"/>
        </w:rPr>
        <w:t>Оценка на първоначалните резултати от изпълнението на ОСР на област Ловеч за периода 2014-2016 г. е направена по ключови социално-икономически показатели. Проследени са социално-икономическите тенденции и са анализирани критериите и индикаторите за оценка на резултатите от изпълнението на стратегията, заложени в самия документ.</w:t>
      </w:r>
    </w:p>
    <w:p w:rsidR="00AA1225" w:rsidRDefault="00E86451" w:rsidP="00851EDA">
      <w:pPr>
        <w:spacing w:after="0" w:line="360" w:lineRule="auto"/>
        <w:ind w:firstLine="708"/>
        <w:jc w:val="both"/>
        <w:rPr>
          <w:rFonts w:ascii="Times New Roman" w:eastAsia="Calibri" w:hAnsi="Times New Roman" w:cs="Times New Roman"/>
          <w:b/>
          <w:i/>
          <w:color w:val="365F91" w:themeColor="accent1" w:themeShade="BF"/>
          <w:sz w:val="24"/>
          <w:szCs w:val="24"/>
        </w:rPr>
      </w:pPr>
      <w:r>
        <w:rPr>
          <w:rFonts w:ascii="Times New Roman" w:eastAsia="Calibri" w:hAnsi="Times New Roman" w:cs="Times New Roman"/>
          <w:b/>
          <w:i/>
          <w:color w:val="365F91" w:themeColor="accent1" w:themeShade="BF"/>
          <w:sz w:val="24"/>
          <w:szCs w:val="24"/>
        </w:rPr>
        <w:t>Критерии и индикатори</w:t>
      </w:r>
      <w:r w:rsidR="00AA1225" w:rsidRPr="00851EDA">
        <w:rPr>
          <w:rFonts w:ascii="Times New Roman" w:eastAsia="Calibri" w:hAnsi="Times New Roman" w:cs="Times New Roman"/>
          <w:b/>
          <w:i/>
          <w:color w:val="365F91" w:themeColor="accent1" w:themeShade="BF"/>
          <w:sz w:val="24"/>
          <w:szCs w:val="24"/>
        </w:rPr>
        <w:t xml:space="preserve"> за оценка на резултатите о</w:t>
      </w:r>
      <w:r w:rsidR="0000374C">
        <w:rPr>
          <w:rFonts w:ascii="Times New Roman" w:eastAsia="Calibri" w:hAnsi="Times New Roman" w:cs="Times New Roman"/>
          <w:b/>
          <w:i/>
          <w:color w:val="365F91" w:themeColor="accent1" w:themeShade="BF"/>
          <w:sz w:val="24"/>
          <w:szCs w:val="24"/>
        </w:rPr>
        <w:t>т изпълнението на стратегията</w:t>
      </w:r>
    </w:p>
    <w:p w:rsidR="0000374C" w:rsidRPr="0000374C" w:rsidRDefault="0000374C" w:rsidP="0000374C">
      <w:pPr>
        <w:spacing w:after="0" w:line="360" w:lineRule="auto"/>
        <w:ind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ОСР 2014-2020 на област Ловеч са посочени </w:t>
      </w:r>
      <w:r w:rsidR="009F0A92">
        <w:rPr>
          <w:rFonts w:ascii="Times New Roman" w:eastAsia="Times New Roman" w:hAnsi="Times New Roman" w:cs="Times New Roman"/>
          <w:sz w:val="24"/>
          <w:szCs w:val="24"/>
          <w:lang w:eastAsia="bg-BG"/>
        </w:rPr>
        <w:t xml:space="preserve">следните </w:t>
      </w:r>
      <w:r>
        <w:rPr>
          <w:rFonts w:ascii="Times New Roman" w:eastAsia="Times New Roman" w:hAnsi="Times New Roman" w:cs="Times New Roman"/>
          <w:sz w:val="24"/>
          <w:szCs w:val="24"/>
          <w:lang w:eastAsia="bg-BG"/>
        </w:rPr>
        <w:t xml:space="preserve">критерии и индикатори </w:t>
      </w:r>
      <w:r w:rsidRPr="0000374C">
        <w:rPr>
          <w:rFonts w:ascii="Times New Roman" w:eastAsia="Times New Roman" w:hAnsi="Times New Roman" w:cs="Times New Roman"/>
          <w:sz w:val="24"/>
          <w:szCs w:val="24"/>
          <w:lang w:eastAsia="bg-BG"/>
        </w:rPr>
        <w:t>за оценка на резултатите от изпълнението на стратегията</w:t>
      </w:r>
      <w:r>
        <w:rPr>
          <w:rFonts w:ascii="Times New Roman" w:eastAsia="Times New Roman" w:hAnsi="Times New Roman" w:cs="Times New Roman"/>
          <w:sz w:val="24"/>
          <w:szCs w:val="24"/>
          <w:lang w:eastAsia="bg-BG"/>
        </w:rPr>
        <w:t xml:space="preserve"> и проследяване на </w:t>
      </w:r>
      <w:r w:rsidRPr="0063690C">
        <w:rPr>
          <w:rFonts w:ascii="Times New Roman" w:hAnsi="Times New Roman" w:cs="Times New Roman"/>
          <w:sz w:val="24"/>
          <w:szCs w:val="24"/>
        </w:rPr>
        <w:t>промените в социално-икономическото развитие на област</w:t>
      </w:r>
      <w:r w:rsidR="009F0A92">
        <w:rPr>
          <w:rFonts w:ascii="Times New Roman" w:hAnsi="Times New Roman" w:cs="Times New Roman"/>
          <w:sz w:val="24"/>
          <w:szCs w:val="24"/>
        </w:rPr>
        <w:t xml:space="preserve">та: </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основни демографски показатели;</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стойности на изменение на доходите, средна годишна заплата;</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трудова заетост и безработица, заети в индустрията, селското стопанство и услугите;</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изменение на брутния вътрешен продукт и брутната добавена стойност;</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инвестициите – разходи за ДМА, разходи за развойна дейност, чуждестранни инвестиции;</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показатели на селското стопанство – обработваема земя, култури, животни, добиви и продуктивност;</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динамика на потреблението /нетни приходи от продажби/;</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състояние на околната среда;</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динамика на изменението на социални и културни дейности и граждански институции;</w:t>
      </w:r>
    </w:p>
    <w:p w:rsidR="00AA1225" w:rsidRPr="00EC099F" w:rsidRDefault="00AA1225" w:rsidP="00134500">
      <w:pPr>
        <w:numPr>
          <w:ilvl w:val="0"/>
          <w:numId w:val="20"/>
        </w:numPr>
        <w:spacing w:after="120" w:line="240" w:lineRule="auto"/>
        <w:jc w:val="both"/>
        <w:rPr>
          <w:rFonts w:ascii="Times New Roman" w:hAnsi="Times New Roman" w:cs="Times New Roman"/>
          <w:sz w:val="24"/>
          <w:szCs w:val="24"/>
        </w:rPr>
      </w:pPr>
      <w:r w:rsidRPr="00EC099F">
        <w:rPr>
          <w:rFonts w:ascii="Times New Roman" w:hAnsi="Times New Roman" w:cs="Times New Roman"/>
          <w:sz w:val="24"/>
          <w:szCs w:val="24"/>
        </w:rPr>
        <w:t>измерими резултати от реализирани проекти за подобряване на техническата и екологична инфраструктура;</w:t>
      </w:r>
    </w:p>
    <w:p w:rsidR="009F621A" w:rsidRDefault="00AA1225" w:rsidP="00134500">
      <w:pPr>
        <w:pStyle w:val="ListParagraph"/>
        <w:numPr>
          <w:ilvl w:val="0"/>
          <w:numId w:val="20"/>
        </w:numPr>
      </w:pPr>
      <w:r w:rsidRPr="00134500">
        <w:rPr>
          <w:rFonts w:ascii="Times New Roman" w:hAnsi="Times New Roman" w:cs="Times New Roman"/>
          <w:sz w:val="24"/>
          <w:szCs w:val="24"/>
        </w:rPr>
        <w:t>измерими резултати от реализирани проекти за подобряване на енергийната ефективност.</w:t>
      </w:r>
    </w:p>
    <w:p w:rsidR="00AA1225" w:rsidRPr="008D7FF9" w:rsidRDefault="008D7FF9" w:rsidP="00D61A24">
      <w:pPr>
        <w:spacing w:after="0" w:line="360" w:lineRule="auto"/>
        <w:ind w:firstLine="680"/>
        <w:jc w:val="both"/>
        <w:rPr>
          <w:rFonts w:ascii="Times New Roman" w:eastAsia="Times New Roman" w:hAnsi="Times New Roman" w:cs="Times New Roman"/>
          <w:sz w:val="24"/>
          <w:szCs w:val="24"/>
          <w:lang w:eastAsia="bg-BG"/>
        </w:rPr>
      </w:pPr>
      <w:r w:rsidRPr="008D7FF9">
        <w:rPr>
          <w:rFonts w:ascii="Times New Roman" w:eastAsia="Times New Roman" w:hAnsi="Times New Roman" w:cs="Times New Roman"/>
          <w:sz w:val="24"/>
          <w:szCs w:val="24"/>
          <w:lang w:eastAsia="bg-BG"/>
        </w:rPr>
        <w:t>Екипът на „Географика“ ООД направи преглед, анализ и оценка на развитието на област Ловеч</w:t>
      </w:r>
      <w:r>
        <w:rPr>
          <w:rFonts w:ascii="Times New Roman" w:eastAsia="Times New Roman" w:hAnsi="Times New Roman" w:cs="Times New Roman"/>
          <w:sz w:val="24"/>
          <w:szCs w:val="24"/>
          <w:lang w:eastAsia="bg-BG"/>
        </w:rPr>
        <w:t xml:space="preserve"> </w:t>
      </w:r>
      <w:r w:rsidR="00D61A24">
        <w:rPr>
          <w:rFonts w:ascii="Times New Roman" w:eastAsia="Times New Roman" w:hAnsi="Times New Roman" w:cs="Times New Roman"/>
          <w:sz w:val="24"/>
          <w:szCs w:val="24"/>
          <w:lang w:eastAsia="bg-BG"/>
        </w:rPr>
        <w:t xml:space="preserve">за периода 2014-2016 г. </w:t>
      </w:r>
      <w:r>
        <w:rPr>
          <w:rFonts w:ascii="Times New Roman" w:eastAsia="Times New Roman" w:hAnsi="Times New Roman" w:cs="Times New Roman"/>
          <w:sz w:val="24"/>
          <w:szCs w:val="24"/>
          <w:lang w:eastAsia="bg-BG"/>
        </w:rPr>
        <w:t>въз основа на посочените по-горе критерии и индикатори.</w:t>
      </w:r>
    </w:p>
    <w:p w:rsidR="00A43900" w:rsidRPr="00D61A24" w:rsidRDefault="00A43900" w:rsidP="00D61A24">
      <w:pPr>
        <w:pStyle w:val="ListParagraph"/>
        <w:numPr>
          <w:ilvl w:val="0"/>
          <w:numId w:val="22"/>
        </w:numPr>
        <w:spacing w:after="0" w:line="360" w:lineRule="auto"/>
        <w:contextualSpacing w:val="0"/>
        <w:jc w:val="both"/>
        <w:rPr>
          <w:rFonts w:ascii="Times New Roman" w:eastAsia="Calibri" w:hAnsi="Times New Roman" w:cs="Times New Roman"/>
          <w:b/>
          <w:i/>
          <w:color w:val="365F91" w:themeColor="accent1" w:themeShade="BF"/>
          <w:sz w:val="24"/>
          <w:szCs w:val="24"/>
        </w:rPr>
      </w:pPr>
      <w:r w:rsidRPr="00D61A24">
        <w:rPr>
          <w:rFonts w:ascii="Times New Roman" w:eastAsia="Calibri" w:hAnsi="Times New Roman" w:cs="Times New Roman"/>
          <w:b/>
          <w:i/>
          <w:color w:val="365F91" w:themeColor="accent1" w:themeShade="BF"/>
          <w:sz w:val="24"/>
          <w:szCs w:val="24"/>
        </w:rPr>
        <w:t>Основни демографски показатели</w:t>
      </w:r>
    </w:p>
    <w:p w:rsidR="00A43900" w:rsidRPr="0063690C" w:rsidRDefault="00A43900" w:rsidP="00D61A24">
      <w:pPr>
        <w:spacing w:after="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Демографските процеси в област Ловеч за периода 2014-2016 г. показват тенденция на намаляване на населението</w:t>
      </w:r>
      <w:r>
        <w:rPr>
          <w:rFonts w:ascii="Times New Roman" w:hAnsi="Times New Roman" w:cs="Times New Roman"/>
          <w:sz w:val="24"/>
          <w:szCs w:val="24"/>
        </w:rPr>
        <w:t xml:space="preserve"> </w:t>
      </w:r>
      <w:r w:rsidRPr="0063690C">
        <w:rPr>
          <w:rFonts w:ascii="Times New Roman" w:hAnsi="Times New Roman" w:cs="Times New Roman"/>
          <w:sz w:val="24"/>
          <w:szCs w:val="24"/>
        </w:rPr>
        <w:t>с 4 189 души</w:t>
      </w:r>
      <w:r>
        <w:rPr>
          <w:rFonts w:ascii="Times New Roman" w:hAnsi="Times New Roman" w:cs="Times New Roman"/>
          <w:sz w:val="24"/>
          <w:szCs w:val="24"/>
        </w:rPr>
        <w:t xml:space="preserve">. В началото на периода броят на населението е 134 546 души, докато през 2016 г. то наброява 130 357. </w:t>
      </w:r>
      <w:r w:rsidR="00EA080B">
        <w:rPr>
          <w:rFonts w:ascii="Times New Roman" w:hAnsi="Times New Roman" w:cs="Times New Roman"/>
          <w:sz w:val="24"/>
          <w:szCs w:val="24"/>
        </w:rPr>
        <w:t>При</w:t>
      </w:r>
      <w:r w:rsidRPr="0063690C">
        <w:rPr>
          <w:rFonts w:ascii="Times New Roman" w:hAnsi="Times New Roman" w:cs="Times New Roman"/>
          <w:sz w:val="24"/>
          <w:szCs w:val="24"/>
        </w:rPr>
        <w:t xml:space="preserve"> половата структура </w:t>
      </w:r>
      <w:r w:rsidRPr="00AC18C3">
        <w:rPr>
          <w:rFonts w:ascii="Times New Roman" w:eastAsia="Trebuchet MS" w:hAnsi="Times New Roman" w:cs="Times New Roman"/>
          <w:sz w:val="24"/>
          <w:szCs w:val="24"/>
        </w:rPr>
        <w:t xml:space="preserve">– броят на </w:t>
      </w:r>
      <w:r w:rsidRPr="00AC18C3">
        <w:rPr>
          <w:rFonts w:ascii="Times New Roman" w:eastAsia="Trebuchet MS" w:hAnsi="Times New Roman" w:cs="Times New Roman"/>
          <w:sz w:val="24"/>
          <w:szCs w:val="24"/>
        </w:rPr>
        <w:lastRenderedPageBreak/>
        <w:t xml:space="preserve">жените има </w:t>
      </w:r>
      <w:r>
        <w:rPr>
          <w:rFonts w:ascii="Times New Roman" w:eastAsia="Trebuchet MS" w:hAnsi="Times New Roman" w:cs="Times New Roman"/>
          <w:sz w:val="24"/>
          <w:szCs w:val="24"/>
        </w:rPr>
        <w:t xml:space="preserve">лек </w:t>
      </w:r>
      <w:r w:rsidRPr="00AC18C3">
        <w:rPr>
          <w:rFonts w:ascii="Times New Roman" w:eastAsia="Trebuchet MS" w:hAnsi="Times New Roman" w:cs="Times New Roman"/>
          <w:sz w:val="24"/>
          <w:szCs w:val="24"/>
        </w:rPr>
        <w:t>превес над броя на мъжете</w:t>
      </w:r>
      <w:r w:rsidRPr="0063690C">
        <w:rPr>
          <w:rFonts w:ascii="Times New Roman" w:hAnsi="Times New Roman" w:cs="Times New Roman"/>
          <w:sz w:val="24"/>
          <w:szCs w:val="24"/>
        </w:rPr>
        <w:t>.</w:t>
      </w:r>
      <w:r>
        <w:rPr>
          <w:rFonts w:ascii="Times New Roman" w:hAnsi="Times New Roman" w:cs="Times New Roman"/>
          <w:sz w:val="24"/>
          <w:szCs w:val="24"/>
        </w:rPr>
        <w:t xml:space="preserve"> През 2016 г. </w:t>
      </w:r>
      <w:r w:rsidRPr="00AC18C3">
        <w:rPr>
          <w:rFonts w:ascii="Times New Roman" w:eastAsia="Trebuchet MS" w:hAnsi="Times New Roman" w:cs="Times New Roman"/>
          <w:sz w:val="24"/>
          <w:szCs w:val="24"/>
        </w:rPr>
        <w:t xml:space="preserve">съотношението между мъжете и жените в </w:t>
      </w:r>
      <w:r>
        <w:rPr>
          <w:rFonts w:ascii="Times New Roman" w:eastAsia="Trebuchet MS" w:hAnsi="Times New Roman" w:cs="Times New Roman"/>
          <w:sz w:val="24"/>
          <w:szCs w:val="24"/>
        </w:rPr>
        <w:t>областта</w:t>
      </w:r>
      <w:r w:rsidRPr="00AC18C3">
        <w:rPr>
          <w:rFonts w:ascii="Times New Roman" w:eastAsia="Trebuchet MS" w:hAnsi="Times New Roman" w:cs="Times New Roman"/>
          <w:sz w:val="24"/>
          <w:szCs w:val="24"/>
        </w:rPr>
        <w:t xml:space="preserve"> е  </w:t>
      </w:r>
      <w:r>
        <w:rPr>
          <w:rFonts w:ascii="Times New Roman" w:eastAsia="Trebuchet MS" w:hAnsi="Times New Roman" w:cs="Times New Roman"/>
          <w:sz w:val="24"/>
          <w:szCs w:val="24"/>
        </w:rPr>
        <w:t>48,9% към 51,1</w:t>
      </w:r>
      <w:r w:rsidRPr="00AC18C3">
        <w:rPr>
          <w:rFonts w:ascii="Times New Roman" w:eastAsia="Trebuchet MS" w:hAnsi="Times New Roman" w:cs="Times New Roman"/>
          <w:sz w:val="24"/>
          <w:szCs w:val="24"/>
        </w:rPr>
        <w:t xml:space="preserve">%. </w:t>
      </w:r>
      <w:r w:rsidRPr="0063690C">
        <w:rPr>
          <w:rFonts w:ascii="Times New Roman" w:hAnsi="Times New Roman" w:cs="Times New Roman"/>
          <w:sz w:val="24"/>
          <w:szCs w:val="24"/>
        </w:rPr>
        <w:t xml:space="preserve"> По отношение на възрастовата структура се забелязва леко намаляване на населението в подтрудоспособна възраст и слабо покачване на хората в надтрудоспособна възраст. </w:t>
      </w:r>
      <w:r w:rsidRPr="00AC18C3">
        <w:rPr>
          <w:rFonts w:ascii="Times New Roman" w:eastAsia="Trebuchet MS" w:hAnsi="Times New Roman" w:cs="Times New Roman"/>
          <w:sz w:val="24"/>
          <w:szCs w:val="24"/>
        </w:rPr>
        <w:t xml:space="preserve">Най-голям дял от населението на </w:t>
      </w:r>
      <w:r>
        <w:rPr>
          <w:rFonts w:ascii="Times New Roman" w:eastAsia="Trebuchet MS" w:hAnsi="Times New Roman" w:cs="Times New Roman"/>
          <w:sz w:val="24"/>
          <w:szCs w:val="24"/>
        </w:rPr>
        <w:t>област Ловеч съставлява възрастова група 65-69 години.</w:t>
      </w:r>
      <w:r w:rsidRPr="0063690C">
        <w:rPr>
          <w:rFonts w:ascii="Times New Roman" w:hAnsi="Times New Roman" w:cs="Times New Roman"/>
          <w:sz w:val="24"/>
          <w:szCs w:val="24"/>
        </w:rPr>
        <w:t xml:space="preserve"> Степента на урбанизация и делът на градското н</w:t>
      </w:r>
      <w:r>
        <w:rPr>
          <w:rFonts w:ascii="Times New Roman" w:hAnsi="Times New Roman" w:cs="Times New Roman"/>
          <w:sz w:val="24"/>
          <w:szCs w:val="24"/>
        </w:rPr>
        <w:t>аселение остава непроменен – 62,</w:t>
      </w:r>
      <w:r w:rsidRPr="0063690C">
        <w:rPr>
          <w:rFonts w:ascii="Times New Roman" w:hAnsi="Times New Roman" w:cs="Times New Roman"/>
          <w:sz w:val="24"/>
          <w:szCs w:val="24"/>
        </w:rPr>
        <w:t xml:space="preserve">6%. </w:t>
      </w:r>
    </w:p>
    <w:p w:rsidR="00A43900" w:rsidRDefault="00A43900" w:rsidP="00D61A24">
      <w:pPr>
        <w:spacing w:after="0" w:line="360" w:lineRule="auto"/>
        <w:ind w:firstLine="709"/>
        <w:jc w:val="both"/>
        <w:rPr>
          <w:rFonts w:ascii="Times New Roman" w:hAnsi="Times New Roman" w:cs="Times New Roman"/>
          <w:sz w:val="24"/>
          <w:szCs w:val="24"/>
          <w:shd w:val="clear" w:color="auto" w:fill="FFFFFF"/>
        </w:rPr>
      </w:pPr>
      <w:r w:rsidRPr="0063690C">
        <w:rPr>
          <w:rFonts w:ascii="Times New Roman" w:hAnsi="Times New Roman" w:cs="Times New Roman"/>
          <w:sz w:val="24"/>
          <w:szCs w:val="24"/>
        </w:rPr>
        <w:t xml:space="preserve">За изследвания период </w:t>
      </w:r>
      <w:r>
        <w:rPr>
          <w:rFonts w:ascii="Times New Roman" w:hAnsi="Times New Roman" w:cs="Times New Roman"/>
          <w:sz w:val="24"/>
          <w:szCs w:val="24"/>
          <w:lang w:val="en-US"/>
        </w:rPr>
        <w:t>(2014-2016</w:t>
      </w:r>
      <w:r>
        <w:rPr>
          <w:rFonts w:ascii="Times New Roman" w:hAnsi="Times New Roman" w:cs="Times New Roman"/>
          <w:sz w:val="24"/>
          <w:szCs w:val="24"/>
        </w:rPr>
        <w:t xml:space="preserve"> г</w:t>
      </w:r>
      <w:r w:rsidR="002A5ED9">
        <w:rPr>
          <w:rFonts w:ascii="Times New Roman" w:hAnsi="Times New Roman" w:cs="Times New Roman"/>
          <w:sz w:val="24"/>
          <w:szCs w:val="24"/>
        </w:rPr>
        <w:t>.</w:t>
      </w:r>
      <w:r>
        <w:rPr>
          <w:rFonts w:ascii="Times New Roman" w:hAnsi="Times New Roman" w:cs="Times New Roman"/>
          <w:sz w:val="24"/>
          <w:szCs w:val="24"/>
        </w:rPr>
        <w:t xml:space="preserve">) </w:t>
      </w:r>
      <w:r w:rsidRPr="0063690C">
        <w:rPr>
          <w:rFonts w:ascii="Times New Roman" w:hAnsi="Times New Roman" w:cs="Times New Roman"/>
          <w:sz w:val="24"/>
          <w:szCs w:val="24"/>
        </w:rPr>
        <w:t>се наблюдава намаляване</w:t>
      </w:r>
      <w:r>
        <w:rPr>
          <w:rFonts w:ascii="Times New Roman" w:hAnsi="Times New Roman" w:cs="Times New Roman"/>
          <w:sz w:val="24"/>
          <w:szCs w:val="24"/>
        </w:rPr>
        <w:t xml:space="preserve"> на раждаемостта в областта с 0,</w:t>
      </w:r>
      <w:r w:rsidR="00797E21">
        <w:rPr>
          <w:rFonts w:ascii="Times New Roman" w:hAnsi="Times New Roman" w:cs="Times New Roman"/>
          <w:sz w:val="24"/>
          <w:szCs w:val="24"/>
        </w:rPr>
        <w:t>5</w:t>
      </w:r>
      <w:r w:rsidRPr="0063690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и</w:t>
      </w:r>
      <w:r w:rsidRPr="0063690C">
        <w:rPr>
          <w:rFonts w:ascii="Times New Roman" w:hAnsi="Times New Roman" w:cs="Times New Roman"/>
          <w:sz w:val="24"/>
          <w:szCs w:val="24"/>
          <w:shd w:val="clear" w:color="auto" w:fill="FFFFFF"/>
        </w:rPr>
        <w:t xml:space="preserve"> леко покачване на смъ</w:t>
      </w:r>
      <w:r>
        <w:rPr>
          <w:rFonts w:ascii="Times New Roman" w:hAnsi="Times New Roman" w:cs="Times New Roman"/>
          <w:sz w:val="24"/>
          <w:szCs w:val="24"/>
          <w:shd w:val="clear" w:color="auto" w:fill="FFFFFF"/>
        </w:rPr>
        <w:t>ртността с 0,</w:t>
      </w:r>
      <w:r w:rsidR="00797E21">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AC18C3">
        <w:rPr>
          <w:rFonts w:ascii="Times New Roman" w:eastAsia="Trebuchet MS" w:hAnsi="Times New Roman" w:cs="Times New Roman"/>
          <w:sz w:val="24"/>
          <w:szCs w:val="24"/>
        </w:rPr>
        <w:t>Поради по-големите нива на смъртност спрямо раждаемост</w:t>
      </w:r>
      <w:r>
        <w:rPr>
          <w:rFonts w:ascii="Times New Roman" w:eastAsia="Trebuchet MS" w:hAnsi="Times New Roman" w:cs="Times New Roman"/>
          <w:sz w:val="24"/>
          <w:szCs w:val="24"/>
        </w:rPr>
        <w:t xml:space="preserve"> в областта</w:t>
      </w:r>
      <w:r w:rsidRPr="00AC18C3">
        <w:rPr>
          <w:rFonts w:ascii="Times New Roman" w:eastAsia="Trebuchet MS" w:hAnsi="Times New Roman" w:cs="Times New Roman"/>
          <w:sz w:val="24"/>
          <w:szCs w:val="24"/>
        </w:rPr>
        <w:t xml:space="preserve"> е налице отрицателен естествен прираст</w:t>
      </w:r>
      <w:r>
        <w:rPr>
          <w:rFonts w:ascii="Times New Roman" w:eastAsia="Trebuchet MS" w:hAnsi="Times New Roman" w:cs="Times New Roman"/>
          <w:sz w:val="24"/>
          <w:szCs w:val="24"/>
        </w:rPr>
        <w:t>. За периода 2014-2016 г. се забелязва</w:t>
      </w:r>
      <w:r w:rsidRPr="0063690C">
        <w:rPr>
          <w:rFonts w:ascii="Times New Roman" w:hAnsi="Times New Roman" w:cs="Times New Roman"/>
          <w:sz w:val="24"/>
          <w:szCs w:val="24"/>
          <w:shd w:val="clear" w:color="auto" w:fill="FFFFFF"/>
        </w:rPr>
        <w:t xml:space="preserve"> повишаване на стойностите на отрицат</w:t>
      </w:r>
      <w:r>
        <w:rPr>
          <w:rFonts w:ascii="Times New Roman" w:hAnsi="Times New Roman" w:cs="Times New Roman"/>
          <w:sz w:val="24"/>
          <w:szCs w:val="24"/>
          <w:shd w:val="clear" w:color="auto" w:fill="FFFFFF"/>
        </w:rPr>
        <w:t>елния естествен прираст с 0,</w:t>
      </w:r>
      <w:r w:rsidR="00797E21">
        <w:rPr>
          <w:rFonts w:ascii="Times New Roman" w:hAnsi="Times New Roman" w:cs="Times New Roman"/>
          <w:sz w:val="24"/>
          <w:szCs w:val="24"/>
          <w:shd w:val="clear" w:color="auto" w:fill="FFFFFF"/>
        </w:rPr>
        <w:t>8</w:t>
      </w:r>
      <w:r w:rsidRPr="0063690C">
        <w:rPr>
          <w:rFonts w:ascii="Times New Roman" w:hAnsi="Times New Roman" w:cs="Times New Roman"/>
          <w:sz w:val="24"/>
          <w:szCs w:val="24"/>
          <w:shd w:val="clear" w:color="auto" w:fill="FFFFFF"/>
        </w:rPr>
        <w:t xml:space="preserve">‰. </w:t>
      </w:r>
    </w:p>
    <w:p w:rsidR="00797E21" w:rsidRPr="0063690C" w:rsidRDefault="00797E21" w:rsidP="00D61A24">
      <w:pPr>
        <w:spacing w:after="0" w:line="360" w:lineRule="auto"/>
        <w:ind w:firstLine="709"/>
        <w:jc w:val="both"/>
        <w:rPr>
          <w:rFonts w:ascii="Times New Roman" w:hAnsi="Times New Roman" w:cs="Times New Roman"/>
          <w:sz w:val="24"/>
          <w:szCs w:val="24"/>
        </w:rPr>
      </w:pPr>
    </w:p>
    <w:p w:rsidR="00A43900" w:rsidRDefault="00A43900" w:rsidP="00A43900">
      <w:pPr>
        <w:spacing w:after="120" w:line="360" w:lineRule="auto"/>
        <w:ind w:firstLine="709"/>
        <w:jc w:val="center"/>
        <w:rPr>
          <w:rFonts w:ascii="Times New Roman" w:hAnsi="Times New Roman" w:cs="Times New Roman"/>
          <w:sz w:val="24"/>
          <w:szCs w:val="24"/>
        </w:rPr>
      </w:pPr>
      <w:r w:rsidRPr="0063690C">
        <w:rPr>
          <w:rFonts w:ascii="Times New Roman" w:hAnsi="Times New Roman" w:cs="Times New Roman"/>
          <w:noProof/>
          <w:sz w:val="24"/>
          <w:szCs w:val="24"/>
          <w:lang w:eastAsia="bg-BG"/>
        </w:rPr>
        <mc:AlternateContent>
          <mc:Choice Requires="wps">
            <w:drawing>
              <wp:anchor distT="0" distB="0" distL="114300" distR="114300" simplePos="0" relativeHeight="251665408" behindDoc="0" locked="0" layoutInCell="1" allowOverlap="1" wp14:anchorId="7DF244D9" wp14:editId="52483836">
                <wp:simplePos x="0" y="0"/>
                <wp:positionH relativeFrom="column">
                  <wp:posOffset>843741</wp:posOffset>
                </wp:positionH>
                <wp:positionV relativeFrom="paragraph">
                  <wp:posOffset>16510</wp:posOffset>
                </wp:positionV>
                <wp:extent cx="285750" cy="257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noFill/>
                          <a:miter lim="800000"/>
                          <a:headEnd/>
                          <a:tailEnd/>
                        </a:ln>
                      </wps:spPr>
                      <wps:txbx>
                        <w:txbxContent>
                          <w:p w:rsidR="00E71648" w:rsidRPr="00546203" w:rsidRDefault="00E71648" w:rsidP="00A43900">
                            <w:pPr>
                              <w:rPr>
                                <w:sz w:val="20"/>
                              </w:rPr>
                            </w:pPr>
                            <w:r w:rsidRPr="00546203">
                              <w:rPr>
                                <w:rFonts w:ascii="Times New Roman" w:hAnsi="Times New Roman" w:cs="Times New Roman"/>
                                <w:szCs w:val="24"/>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66.45pt;margin-top:1.3pt;width:2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FYIwIAACMEAAAOAAAAZHJzL2Uyb0RvYy54bWysU9uO2yAQfa/Uf0C8N3bcuMla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" stroked="f">
                <v:textbox>
                  <w:txbxContent>
                    <w:p w:rsidR="00CF5622" w:rsidRPr="00546203" w:rsidRDefault="00CF5622" w:rsidP="00A43900">
                      <w:pPr>
                        <w:rPr>
                          <w:sz w:val="20"/>
                        </w:rPr>
                      </w:pPr>
                      <w:r w:rsidRPr="00546203">
                        <w:rPr>
                          <w:rFonts w:ascii="Times New Roman" w:hAnsi="Times New Roman" w:cs="Times New Roman"/>
                          <w:szCs w:val="24"/>
                          <w:shd w:val="clear" w:color="auto" w:fill="FFFFFF"/>
                        </w:rPr>
                        <w:t>‰</w:t>
                      </w:r>
                    </w:p>
                  </w:txbxContent>
                </v:textbox>
              </v:shape>
            </w:pict>
          </mc:Fallback>
        </mc:AlternateContent>
      </w:r>
      <w:r w:rsidRPr="0063690C">
        <w:rPr>
          <w:rFonts w:ascii="Times New Roman" w:hAnsi="Times New Roman" w:cs="Times New Roman"/>
          <w:noProof/>
          <w:sz w:val="24"/>
          <w:szCs w:val="24"/>
          <w:lang w:eastAsia="bg-BG"/>
        </w:rPr>
        <w:drawing>
          <wp:inline distT="0" distB="0" distL="0" distR="0" wp14:anchorId="37A1415D" wp14:editId="40556D2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4" w:name="_Toc510702847"/>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noProof/>
          <w:color w:val="000000" w:themeColor="text1"/>
          <w:sz w:val="24"/>
          <w:szCs w:val="24"/>
        </w:rPr>
        <w:t>1</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Естествено движение на населението, Източник: НСИ</w:t>
      </w:r>
      <w:bookmarkEnd w:id="4"/>
    </w:p>
    <w:p w:rsidR="00A43900" w:rsidRPr="0063690C" w:rsidRDefault="00A43900" w:rsidP="00A43900">
      <w:pPr>
        <w:spacing w:after="120" w:line="360" w:lineRule="auto"/>
        <w:ind w:firstLine="709"/>
        <w:jc w:val="center"/>
        <w:rPr>
          <w:rFonts w:ascii="Times New Roman" w:hAnsi="Times New Roman" w:cs="Times New Roman"/>
          <w:sz w:val="24"/>
          <w:szCs w:val="24"/>
        </w:rPr>
      </w:pPr>
    </w:p>
    <w:p w:rsidR="00A43900" w:rsidRDefault="00A43900" w:rsidP="00A43900">
      <w:pPr>
        <w:spacing w:after="120" w:line="360" w:lineRule="auto"/>
        <w:ind w:firstLine="709"/>
        <w:jc w:val="both"/>
        <w:rPr>
          <w:rFonts w:ascii="Times New Roman" w:hAnsi="Times New Roman" w:cs="Times New Roman"/>
          <w:sz w:val="24"/>
          <w:szCs w:val="24"/>
          <w:shd w:val="clear" w:color="auto" w:fill="FFFFFF"/>
        </w:rPr>
      </w:pPr>
      <w:r w:rsidRPr="0063690C">
        <w:rPr>
          <w:rFonts w:ascii="Times New Roman" w:hAnsi="Times New Roman" w:cs="Times New Roman"/>
          <w:sz w:val="24"/>
          <w:szCs w:val="24"/>
        </w:rPr>
        <w:t>По отношение на механичния прираст се забелязва увелича</w:t>
      </w:r>
      <w:r w:rsidR="007A556E">
        <w:rPr>
          <w:rFonts w:ascii="Times New Roman" w:hAnsi="Times New Roman" w:cs="Times New Roman"/>
          <w:sz w:val="24"/>
          <w:szCs w:val="24"/>
        </w:rPr>
        <w:t>ване както на заселените (с 0.9</w:t>
      </w:r>
      <w:r w:rsidRPr="0063690C">
        <w:rPr>
          <w:rFonts w:ascii="Times New Roman" w:hAnsi="Times New Roman" w:cs="Times New Roman"/>
          <w:sz w:val="24"/>
          <w:szCs w:val="24"/>
          <w:shd w:val="clear" w:color="auto" w:fill="FFFFFF"/>
        </w:rPr>
        <w:t>‰)</w:t>
      </w:r>
      <w:r w:rsidR="007A556E">
        <w:rPr>
          <w:rFonts w:ascii="Times New Roman" w:hAnsi="Times New Roman" w:cs="Times New Roman"/>
          <w:sz w:val="24"/>
          <w:szCs w:val="24"/>
        </w:rPr>
        <w:t>, така и на изселените (с 2.2</w:t>
      </w:r>
      <w:r w:rsidRPr="0063690C">
        <w:rPr>
          <w:rFonts w:ascii="Times New Roman" w:hAnsi="Times New Roman" w:cs="Times New Roman"/>
          <w:sz w:val="24"/>
          <w:szCs w:val="24"/>
          <w:shd w:val="clear" w:color="auto" w:fill="FFFFFF"/>
        </w:rPr>
        <w:t>‰). Заради по-големия брой изселвания спрямо заселванията, механичният прираст се запазва отрицателен като за 2016 г. стойността му е -5.6‰. Миграциите са продикт</w:t>
      </w:r>
      <w:r w:rsidR="002A5ED9">
        <w:rPr>
          <w:rFonts w:ascii="Times New Roman" w:hAnsi="Times New Roman" w:cs="Times New Roman"/>
          <w:sz w:val="24"/>
          <w:szCs w:val="24"/>
          <w:shd w:val="clear" w:color="auto" w:fill="FFFFFF"/>
        </w:rPr>
        <w:t>увани от икономически причини и</w:t>
      </w:r>
      <w:r w:rsidRPr="0063690C">
        <w:rPr>
          <w:rFonts w:ascii="Times New Roman" w:hAnsi="Times New Roman" w:cs="Times New Roman"/>
          <w:sz w:val="24"/>
          <w:szCs w:val="24"/>
          <w:shd w:val="clear" w:color="auto" w:fill="FFFFFF"/>
        </w:rPr>
        <w:t xml:space="preserve"> засягат предимно хора в активна възраст.</w:t>
      </w:r>
    </w:p>
    <w:p w:rsidR="00A43900" w:rsidRPr="0063690C" w:rsidRDefault="00A43900" w:rsidP="00A43900">
      <w:pPr>
        <w:spacing w:after="120" w:line="360" w:lineRule="auto"/>
        <w:ind w:firstLine="709"/>
        <w:jc w:val="center"/>
        <w:rPr>
          <w:rFonts w:ascii="Times New Roman" w:hAnsi="Times New Roman" w:cs="Times New Roman"/>
          <w:sz w:val="24"/>
          <w:szCs w:val="24"/>
        </w:rPr>
      </w:pPr>
      <w:r w:rsidRPr="0063690C">
        <w:rPr>
          <w:rFonts w:ascii="Times New Roman" w:hAnsi="Times New Roman" w:cs="Times New Roman"/>
          <w:noProof/>
          <w:sz w:val="24"/>
          <w:szCs w:val="24"/>
          <w:lang w:eastAsia="bg-BG"/>
        </w:rPr>
        <w:lastRenderedPageBreak/>
        <mc:AlternateContent>
          <mc:Choice Requires="wps">
            <w:drawing>
              <wp:anchor distT="0" distB="0" distL="114300" distR="114300" simplePos="0" relativeHeight="251666432" behindDoc="0" locked="0" layoutInCell="1" allowOverlap="1" wp14:anchorId="6DF0BCD7" wp14:editId="47896789">
                <wp:simplePos x="0" y="0"/>
                <wp:positionH relativeFrom="column">
                  <wp:posOffset>840740</wp:posOffset>
                </wp:positionH>
                <wp:positionV relativeFrom="paragraph">
                  <wp:posOffset>20320</wp:posOffset>
                </wp:positionV>
                <wp:extent cx="241161" cy="257175"/>
                <wp:effectExtent l="0" t="0" r="698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61" cy="257175"/>
                        </a:xfrm>
                        <a:prstGeom prst="rect">
                          <a:avLst/>
                        </a:prstGeom>
                        <a:solidFill>
                          <a:srgbClr val="FFFFFF"/>
                        </a:solidFill>
                        <a:ln w="9525">
                          <a:noFill/>
                          <a:miter lim="800000"/>
                          <a:headEnd/>
                          <a:tailEnd/>
                        </a:ln>
                      </wps:spPr>
                      <wps:txbx>
                        <w:txbxContent>
                          <w:p w:rsidR="00E71648" w:rsidRPr="00546203" w:rsidRDefault="00E71648" w:rsidP="00A43900">
                            <w:pPr>
                              <w:rPr>
                                <w:sz w:val="20"/>
                              </w:rPr>
                            </w:pPr>
                            <w:r w:rsidRPr="00546203">
                              <w:rPr>
                                <w:rFonts w:ascii="Times New Roman" w:hAnsi="Times New Roman" w:cs="Times New Roman"/>
                                <w:szCs w:val="24"/>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6.2pt;margin-top:1.6pt;width:19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" stroked="f">
                <v:textbox>
                  <w:txbxContent>
                    <w:p w:rsidR="00CF5622" w:rsidRPr="00546203" w:rsidRDefault="00CF5622" w:rsidP="00A43900">
                      <w:pPr>
                        <w:rPr>
                          <w:sz w:val="20"/>
                        </w:rPr>
                      </w:pPr>
                      <w:r w:rsidRPr="00546203">
                        <w:rPr>
                          <w:rFonts w:ascii="Times New Roman" w:hAnsi="Times New Roman" w:cs="Times New Roman"/>
                          <w:szCs w:val="24"/>
                          <w:shd w:val="clear" w:color="auto" w:fill="FFFFFF"/>
                        </w:rPr>
                        <w:t>‰</w:t>
                      </w:r>
                    </w:p>
                  </w:txbxContent>
                </v:textbox>
              </v:shape>
            </w:pict>
          </mc:Fallback>
        </mc:AlternateContent>
      </w:r>
      <w:r w:rsidRPr="0063690C">
        <w:rPr>
          <w:rFonts w:ascii="Times New Roman" w:hAnsi="Times New Roman" w:cs="Times New Roman"/>
          <w:noProof/>
          <w:sz w:val="24"/>
          <w:szCs w:val="24"/>
          <w:lang w:eastAsia="bg-BG"/>
        </w:rPr>
        <w:drawing>
          <wp:inline distT="0" distB="0" distL="0" distR="0" wp14:anchorId="7D55CE1B" wp14:editId="5FD0CBC1">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3900" w:rsidRDefault="00C17917" w:rsidP="00C17917">
      <w:pPr>
        <w:pStyle w:val="Caption"/>
        <w:jc w:val="center"/>
        <w:rPr>
          <w:rFonts w:ascii="Times New Roman" w:hAnsi="Times New Roman" w:cs="Times New Roman"/>
          <w:b w:val="0"/>
          <w:i/>
          <w:color w:val="000000" w:themeColor="text1"/>
          <w:sz w:val="24"/>
          <w:szCs w:val="24"/>
        </w:rPr>
      </w:pPr>
      <w:bookmarkStart w:id="5" w:name="_Toc510702848"/>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2</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Механично движение на населението, Източник: НСИ</w:t>
      </w:r>
      <w:bookmarkEnd w:id="5"/>
    </w:p>
    <w:p w:rsidR="005E4FE0" w:rsidRPr="005E4FE0" w:rsidRDefault="005E4FE0" w:rsidP="005E4FE0"/>
    <w:p w:rsidR="00A43900" w:rsidRPr="00C17917" w:rsidRDefault="00A43900" w:rsidP="00C17917">
      <w:pPr>
        <w:pStyle w:val="Caption"/>
        <w:jc w:val="center"/>
        <w:rPr>
          <w:rFonts w:ascii="Times New Roman" w:hAnsi="Times New Roman" w:cs="Times New Roman"/>
          <w:b w:val="0"/>
          <w:i/>
          <w:color w:val="000000" w:themeColor="text1"/>
          <w:sz w:val="24"/>
          <w:szCs w:val="24"/>
        </w:rPr>
      </w:pPr>
    </w:p>
    <w:p w:rsidR="00A43900" w:rsidRPr="00ED6D89" w:rsidRDefault="00A43900" w:rsidP="00ED6D89">
      <w:pPr>
        <w:pStyle w:val="ListParagraph"/>
        <w:numPr>
          <w:ilvl w:val="0"/>
          <w:numId w:val="22"/>
        </w:numPr>
        <w:spacing w:after="0" w:line="360" w:lineRule="auto"/>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Стойности на изменение на доходите, средна годишна заплата</w:t>
      </w:r>
    </w:p>
    <w:p w:rsidR="00A43900"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През периода 2014-2016 г. област Ловеч бележи общ положителен ръст по отношение на доходите и средната годишна работна заплата. През наблюдавания период се забелязва ръст на доходите на лице от домакинството с 335 лв</w:t>
      </w:r>
      <w:r>
        <w:rPr>
          <w:rFonts w:ascii="Times New Roman" w:hAnsi="Times New Roman" w:cs="Times New Roman"/>
          <w:sz w:val="24"/>
          <w:szCs w:val="24"/>
        </w:rPr>
        <w:t>.</w:t>
      </w:r>
      <w:r w:rsidRPr="0063690C">
        <w:rPr>
          <w:rFonts w:ascii="Times New Roman" w:hAnsi="Times New Roman" w:cs="Times New Roman"/>
          <w:sz w:val="24"/>
          <w:szCs w:val="24"/>
        </w:rPr>
        <w:t>, а средна</w:t>
      </w:r>
      <w:r>
        <w:rPr>
          <w:rFonts w:ascii="Times New Roman" w:hAnsi="Times New Roman" w:cs="Times New Roman"/>
          <w:sz w:val="24"/>
          <w:szCs w:val="24"/>
        </w:rPr>
        <w:t>та</w:t>
      </w:r>
      <w:r w:rsidRPr="0063690C">
        <w:rPr>
          <w:rFonts w:ascii="Times New Roman" w:hAnsi="Times New Roman" w:cs="Times New Roman"/>
          <w:sz w:val="24"/>
          <w:szCs w:val="24"/>
        </w:rPr>
        <w:t xml:space="preserve"> годишна работна заплата на наетите лица по трудово и служебно правоотношение е нараснала </w:t>
      </w:r>
      <w:r w:rsidRPr="00382FBE">
        <w:rPr>
          <w:rFonts w:ascii="Times New Roman" w:hAnsi="Times New Roman" w:cs="Times New Roman"/>
          <w:sz w:val="24"/>
          <w:szCs w:val="24"/>
        </w:rPr>
        <w:t>с 1117 лв.</w:t>
      </w:r>
    </w:p>
    <w:p w:rsidR="007A556E" w:rsidRDefault="007A556E" w:rsidP="00A43900">
      <w:pPr>
        <w:spacing w:after="120" w:line="360" w:lineRule="auto"/>
        <w:ind w:firstLine="709"/>
        <w:jc w:val="both"/>
        <w:rPr>
          <w:rFonts w:ascii="Times New Roman" w:hAnsi="Times New Roman" w:cs="Times New Roman"/>
          <w:sz w:val="24"/>
          <w:szCs w:val="24"/>
        </w:rPr>
      </w:pPr>
    </w:p>
    <w:p w:rsidR="005E4FE0" w:rsidRDefault="005E4FE0" w:rsidP="00C17917">
      <w:pPr>
        <w:pStyle w:val="Caption"/>
        <w:jc w:val="center"/>
        <w:rPr>
          <w:rFonts w:ascii="Times New Roman" w:hAnsi="Times New Roman" w:cs="Times New Roman"/>
          <w:b w:val="0"/>
          <w:i/>
          <w:color w:val="000000" w:themeColor="text1"/>
          <w:sz w:val="24"/>
          <w:szCs w:val="24"/>
        </w:rPr>
      </w:pPr>
      <w:bookmarkStart w:id="6" w:name="_Toc510702849"/>
      <w:r w:rsidRPr="0063690C">
        <w:rPr>
          <w:rFonts w:ascii="Times New Roman" w:hAnsi="Times New Roman" w:cs="Times New Roman"/>
          <w:noProof/>
          <w:sz w:val="24"/>
          <w:szCs w:val="24"/>
          <w:lang w:eastAsia="bg-BG"/>
        </w:rPr>
        <w:drawing>
          <wp:inline distT="0" distB="0" distL="0" distR="0" wp14:anchorId="0D8090D4" wp14:editId="1840DB27">
            <wp:extent cx="4572000" cy="2813538"/>
            <wp:effectExtent l="0" t="0" r="1905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3</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Изменение на доходите и средната годишна заплата, Източник: НСИ</w:t>
      </w:r>
      <w:bookmarkEnd w:id="6"/>
    </w:p>
    <w:p w:rsidR="00A43900" w:rsidRDefault="00A43900" w:rsidP="00A43900">
      <w:pPr>
        <w:spacing w:after="120" w:line="360" w:lineRule="auto"/>
        <w:jc w:val="both"/>
        <w:rPr>
          <w:rFonts w:ascii="Times New Roman" w:hAnsi="Times New Roman" w:cs="Times New Roman"/>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lastRenderedPageBreak/>
        <w:t>Трудова заетост и безработица, заети в индустрията, селското стопанство и услугите</w:t>
      </w:r>
    </w:p>
    <w:p w:rsidR="00A43900"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За периода 2014-2016 г. се забелязва лек спад на безработицата, а заетостта варира като общата тенденция е на увелич</w:t>
      </w:r>
      <w:r w:rsidR="008C72A2">
        <w:rPr>
          <w:rFonts w:ascii="Times New Roman" w:hAnsi="Times New Roman" w:cs="Times New Roman"/>
          <w:sz w:val="24"/>
          <w:szCs w:val="24"/>
        </w:rPr>
        <w:t>аване</w:t>
      </w:r>
      <w:r w:rsidRPr="0063690C">
        <w:rPr>
          <w:rFonts w:ascii="Times New Roman" w:hAnsi="Times New Roman" w:cs="Times New Roman"/>
          <w:sz w:val="24"/>
          <w:szCs w:val="24"/>
        </w:rPr>
        <w:t xml:space="preserve">. В края на периода коефициентът на заетост е 52.4% и бележи увеличение с 1.4% спрямо 2014 г. Безработицата е намаляла с 2.3% като през 2016 г. коефициентът на безработица достига 7.9%. </w:t>
      </w:r>
    </w:p>
    <w:p w:rsidR="00A43900" w:rsidRDefault="00A43900" w:rsidP="00A43900">
      <w:pPr>
        <w:spacing w:after="120" w:line="360" w:lineRule="auto"/>
        <w:ind w:firstLine="709"/>
        <w:jc w:val="center"/>
        <w:rPr>
          <w:rFonts w:ascii="Times New Roman" w:hAnsi="Times New Roman" w:cs="Times New Roman"/>
          <w:sz w:val="24"/>
          <w:szCs w:val="24"/>
        </w:rPr>
      </w:pPr>
      <w:r w:rsidRPr="0063690C">
        <w:rPr>
          <w:rFonts w:ascii="Times New Roman" w:hAnsi="Times New Roman" w:cs="Times New Roman"/>
          <w:noProof/>
          <w:sz w:val="24"/>
          <w:szCs w:val="24"/>
          <w:lang w:eastAsia="bg-BG"/>
        </w:rPr>
        <w:drawing>
          <wp:inline distT="0" distB="0" distL="0" distR="0" wp14:anchorId="0F7101D6" wp14:editId="7D60352C">
            <wp:extent cx="4572000" cy="26289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7" w:name="_Toc510702850"/>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4</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Трудова заетост и безработица, Източник: Регионални профили</w:t>
      </w:r>
      <w:bookmarkEnd w:id="7"/>
    </w:p>
    <w:p w:rsidR="00A43900" w:rsidRPr="0063690C" w:rsidRDefault="004B386E"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noProof/>
          <w:sz w:val="24"/>
          <w:szCs w:val="24"/>
          <w:lang w:eastAsia="bg-BG"/>
        </w:rPr>
        <w:drawing>
          <wp:anchor distT="0" distB="0" distL="114300" distR="114300" simplePos="0" relativeHeight="251668480" behindDoc="1" locked="0" layoutInCell="1" allowOverlap="1" wp14:anchorId="4DA0A294" wp14:editId="2689D924">
            <wp:simplePos x="0" y="0"/>
            <wp:positionH relativeFrom="column">
              <wp:posOffset>671830</wp:posOffset>
            </wp:positionH>
            <wp:positionV relativeFrom="paragraph">
              <wp:posOffset>1652905</wp:posOffset>
            </wp:positionV>
            <wp:extent cx="5124450" cy="2686050"/>
            <wp:effectExtent l="38100" t="0" r="19050" b="19050"/>
            <wp:wrapTight wrapText="bothSides">
              <wp:wrapPolygon edited="0">
                <wp:start x="-161" y="0"/>
                <wp:lineTo x="-161" y="21600"/>
                <wp:lineTo x="21600" y="21600"/>
                <wp:lineTo x="21600" y="0"/>
                <wp:lineTo x="-161"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A43900" w:rsidRPr="0063690C">
        <w:rPr>
          <w:rFonts w:ascii="Times New Roman" w:hAnsi="Times New Roman" w:cs="Times New Roman"/>
          <w:sz w:val="24"/>
          <w:szCs w:val="24"/>
        </w:rPr>
        <w:t>Най-много заети лица има в сектор Индустрия и по-специално в отрасъла „Производство на мебели, производство, некласифицирано другаде, ремонти и инсталиране на машини и оборудване”. За периода 2014-2016 г. се наблюдава увеличаване на броя на заетите в строителството, търговията, транспорта, хотелиерството и ресторантьорството.</w:t>
      </w:r>
      <w:r w:rsidR="00A43900">
        <w:rPr>
          <w:rFonts w:ascii="Times New Roman" w:hAnsi="Times New Roman" w:cs="Times New Roman"/>
          <w:sz w:val="24"/>
          <w:szCs w:val="24"/>
        </w:rPr>
        <w:t xml:space="preserve"> Забелязва се лек спад на заетостта в секторите „Селско, горско и рибно стопанство“ и „</w:t>
      </w:r>
      <w:r w:rsidR="00A43900" w:rsidRPr="00AB0961">
        <w:rPr>
          <w:rFonts w:ascii="Times New Roman" w:hAnsi="Times New Roman" w:cs="Times New Roman"/>
          <w:sz w:val="24"/>
          <w:szCs w:val="24"/>
        </w:rPr>
        <w:t>Индустрия</w:t>
      </w:r>
      <w:r w:rsidR="00A43900">
        <w:rPr>
          <w:rFonts w:ascii="Times New Roman" w:hAnsi="Times New Roman" w:cs="Times New Roman"/>
          <w:sz w:val="24"/>
          <w:szCs w:val="24"/>
        </w:rPr>
        <w:t>“</w:t>
      </w:r>
      <w:r w:rsidR="00A43900" w:rsidRPr="00AB0961">
        <w:rPr>
          <w:rFonts w:ascii="Times New Roman" w:hAnsi="Times New Roman" w:cs="Times New Roman"/>
          <w:sz w:val="24"/>
          <w:szCs w:val="24"/>
        </w:rPr>
        <w:t xml:space="preserve"> (с изкл. на строителството)</w:t>
      </w:r>
      <w:r w:rsidR="00A43900">
        <w:rPr>
          <w:rFonts w:ascii="Times New Roman" w:hAnsi="Times New Roman" w:cs="Times New Roman"/>
          <w:sz w:val="24"/>
          <w:szCs w:val="24"/>
        </w:rPr>
        <w:t xml:space="preserve"> съответно с 0.3% и 0.4%.</w:t>
      </w:r>
    </w:p>
    <w:p w:rsidR="00A43900" w:rsidRPr="0063690C" w:rsidRDefault="00A43900" w:rsidP="004B386E">
      <w:pPr>
        <w:spacing w:after="120" w:line="360" w:lineRule="auto"/>
        <w:jc w:val="both"/>
        <w:rPr>
          <w:rFonts w:ascii="Times New Roman" w:hAnsi="Times New Roman" w:cs="Times New Roman"/>
          <w:sz w:val="24"/>
          <w:szCs w:val="24"/>
        </w:rPr>
      </w:pPr>
    </w:p>
    <w:p w:rsidR="00A43900" w:rsidRPr="0063690C" w:rsidRDefault="00A43900" w:rsidP="00A43900">
      <w:pPr>
        <w:spacing w:after="120" w:line="360" w:lineRule="auto"/>
        <w:ind w:firstLine="709"/>
        <w:jc w:val="both"/>
        <w:rPr>
          <w:rFonts w:ascii="Times New Roman" w:hAnsi="Times New Roman" w:cs="Times New Roman"/>
          <w:sz w:val="24"/>
          <w:szCs w:val="24"/>
        </w:rPr>
      </w:pPr>
    </w:p>
    <w:p w:rsidR="00C17917" w:rsidRDefault="00C17917" w:rsidP="00C17917">
      <w:pPr>
        <w:pStyle w:val="Caption"/>
      </w:pPr>
    </w:p>
    <w:p w:rsidR="00C17917" w:rsidRDefault="00C17917" w:rsidP="00C17917">
      <w:pPr>
        <w:pStyle w:val="Caption"/>
      </w:pPr>
    </w:p>
    <w:p w:rsidR="00C17917" w:rsidRDefault="00C17917" w:rsidP="00C17917">
      <w:pPr>
        <w:pStyle w:val="Caption"/>
      </w:pPr>
    </w:p>
    <w:p w:rsidR="00C17917" w:rsidRDefault="00C17917" w:rsidP="00C17917">
      <w:pPr>
        <w:pStyle w:val="Caption"/>
      </w:pPr>
    </w:p>
    <w:p w:rsidR="00C17917" w:rsidRDefault="00C17917" w:rsidP="00C17917">
      <w:pPr>
        <w:pStyle w:val="Caption"/>
      </w:pPr>
    </w:p>
    <w:p w:rsidR="00C17917" w:rsidRDefault="00C17917" w:rsidP="00C17917">
      <w:pPr>
        <w:pStyle w:val="Caption"/>
      </w:pPr>
    </w:p>
    <w:p w:rsidR="00C17917" w:rsidRDefault="00C17917" w:rsidP="00C17917">
      <w:pPr>
        <w:pStyle w:val="Caption"/>
      </w:pPr>
    </w:p>
    <w:p w:rsidR="00C17917" w:rsidRDefault="00C17917" w:rsidP="00C17917">
      <w:pPr>
        <w:pStyle w:val="Caption"/>
      </w:pP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8" w:name="_Toc510702851"/>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5</w:t>
      </w:r>
      <w:r w:rsidRPr="00C17917">
        <w:rPr>
          <w:rFonts w:ascii="Times New Roman" w:hAnsi="Times New Roman" w:cs="Times New Roman"/>
          <w:b w:val="0"/>
          <w:i/>
          <w:color w:val="000000" w:themeColor="text1"/>
          <w:sz w:val="24"/>
          <w:szCs w:val="24"/>
        </w:rPr>
        <w:fldChar w:fldCharType="end"/>
      </w:r>
      <w:r w:rsidR="00A43900" w:rsidRPr="00C17917">
        <w:rPr>
          <w:rFonts w:ascii="Times New Roman" w:hAnsi="Times New Roman" w:cs="Times New Roman"/>
          <w:b w:val="0"/>
          <w:i/>
          <w:color w:val="000000" w:themeColor="text1"/>
          <w:sz w:val="24"/>
          <w:szCs w:val="24"/>
        </w:rPr>
        <w:t xml:space="preserve"> Заетост по сектори, Източник: НСИ</w:t>
      </w:r>
      <w:bookmarkEnd w:id="8"/>
    </w:p>
    <w:p w:rsidR="00A43900" w:rsidRDefault="00A43900" w:rsidP="00A43900">
      <w:pPr>
        <w:spacing w:after="120" w:line="360" w:lineRule="auto"/>
        <w:ind w:left="709"/>
        <w:jc w:val="both"/>
        <w:rPr>
          <w:rFonts w:ascii="Times New Roman" w:hAnsi="Times New Roman" w:cs="Times New Roman"/>
          <w:sz w:val="24"/>
          <w:szCs w:val="24"/>
        </w:rPr>
      </w:pPr>
    </w:p>
    <w:p w:rsidR="00A43900" w:rsidRPr="00ED6D89" w:rsidRDefault="00A43900" w:rsidP="00ED6D89">
      <w:pPr>
        <w:pStyle w:val="ListParagraph"/>
        <w:numPr>
          <w:ilvl w:val="0"/>
          <w:numId w:val="22"/>
        </w:numPr>
        <w:spacing w:after="0" w:line="360" w:lineRule="auto"/>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Изменение на брутния вътрешен продукт и брутната добавена стойност</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Основните макроикономически показатели не бележат значителни промени</w:t>
      </w:r>
      <w:r>
        <w:rPr>
          <w:rFonts w:ascii="Times New Roman" w:hAnsi="Times New Roman" w:cs="Times New Roman"/>
          <w:sz w:val="24"/>
          <w:szCs w:val="24"/>
        </w:rPr>
        <w:t xml:space="preserve"> за периода</w:t>
      </w:r>
      <w:r w:rsidRPr="0063690C">
        <w:rPr>
          <w:rFonts w:ascii="Times New Roman" w:hAnsi="Times New Roman" w:cs="Times New Roman"/>
          <w:sz w:val="24"/>
          <w:szCs w:val="24"/>
        </w:rPr>
        <w:t xml:space="preserve"> </w:t>
      </w:r>
      <w:r>
        <w:rPr>
          <w:rFonts w:ascii="Times New Roman" w:hAnsi="Times New Roman" w:cs="Times New Roman"/>
          <w:sz w:val="24"/>
          <w:szCs w:val="24"/>
        </w:rPr>
        <w:t>2014-2015 г.</w:t>
      </w:r>
      <w:r w:rsidRPr="0063690C">
        <w:rPr>
          <w:rFonts w:ascii="Times New Roman" w:hAnsi="Times New Roman" w:cs="Times New Roman"/>
          <w:sz w:val="24"/>
          <w:szCs w:val="24"/>
        </w:rPr>
        <w:t xml:space="preserve"> </w:t>
      </w:r>
      <w:r>
        <w:rPr>
          <w:rFonts w:ascii="Times New Roman" w:hAnsi="Times New Roman" w:cs="Times New Roman"/>
          <w:sz w:val="24"/>
          <w:szCs w:val="24"/>
        </w:rPr>
        <w:t>Забелязва</w:t>
      </w:r>
      <w:r w:rsidRPr="0063690C">
        <w:rPr>
          <w:rFonts w:ascii="Times New Roman" w:hAnsi="Times New Roman" w:cs="Times New Roman"/>
          <w:sz w:val="24"/>
          <w:szCs w:val="24"/>
        </w:rPr>
        <w:t xml:space="preserve"> </w:t>
      </w:r>
      <w:r>
        <w:rPr>
          <w:rFonts w:ascii="Times New Roman" w:hAnsi="Times New Roman" w:cs="Times New Roman"/>
          <w:sz w:val="24"/>
          <w:szCs w:val="24"/>
        </w:rPr>
        <w:t xml:space="preserve">се </w:t>
      </w:r>
      <w:r w:rsidRPr="0063690C">
        <w:rPr>
          <w:rFonts w:ascii="Times New Roman" w:hAnsi="Times New Roman" w:cs="Times New Roman"/>
          <w:sz w:val="24"/>
          <w:szCs w:val="24"/>
        </w:rPr>
        <w:t>спад на БВП</w:t>
      </w:r>
      <w:r>
        <w:rPr>
          <w:rFonts w:ascii="Times New Roman" w:hAnsi="Times New Roman" w:cs="Times New Roman"/>
          <w:sz w:val="24"/>
          <w:szCs w:val="24"/>
        </w:rPr>
        <w:t xml:space="preserve"> с 3 млн.лв</w:t>
      </w:r>
      <w:r w:rsidR="00041643">
        <w:rPr>
          <w:rFonts w:ascii="Times New Roman" w:hAnsi="Times New Roman" w:cs="Times New Roman"/>
          <w:sz w:val="24"/>
          <w:szCs w:val="24"/>
        </w:rPr>
        <w:t>.</w:t>
      </w:r>
      <w:r w:rsidRPr="0063690C">
        <w:rPr>
          <w:rFonts w:ascii="Times New Roman" w:hAnsi="Times New Roman" w:cs="Times New Roman"/>
          <w:sz w:val="24"/>
          <w:szCs w:val="24"/>
        </w:rPr>
        <w:t xml:space="preserve"> </w:t>
      </w:r>
      <w:r>
        <w:rPr>
          <w:rFonts w:ascii="Times New Roman" w:hAnsi="Times New Roman" w:cs="Times New Roman"/>
          <w:sz w:val="24"/>
          <w:szCs w:val="24"/>
        </w:rPr>
        <w:t>и БДС със 6 млн.лв. За сметка на това</w:t>
      </w:r>
      <w:r w:rsidRPr="0063690C">
        <w:rPr>
          <w:rFonts w:ascii="Times New Roman" w:hAnsi="Times New Roman" w:cs="Times New Roman"/>
          <w:sz w:val="24"/>
          <w:szCs w:val="24"/>
        </w:rPr>
        <w:t xml:space="preserve"> БВП на човек от населението</w:t>
      </w:r>
      <w:r>
        <w:rPr>
          <w:rFonts w:ascii="Times New Roman" w:hAnsi="Times New Roman" w:cs="Times New Roman"/>
          <w:sz w:val="24"/>
          <w:szCs w:val="24"/>
        </w:rPr>
        <w:t xml:space="preserve"> в област Ловеч се увеличава с 93 млн. лв</w:t>
      </w:r>
      <w:r w:rsidRPr="0063690C">
        <w:rPr>
          <w:rFonts w:ascii="Times New Roman" w:hAnsi="Times New Roman" w:cs="Times New Roman"/>
          <w:sz w:val="24"/>
          <w:szCs w:val="24"/>
        </w:rPr>
        <w:t>.</w:t>
      </w:r>
    </w:p>
    <w:p w:rsidR="00041643"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color w:val="000000"/>
          <w:spacing w:val="-2"/>
          <w:sz w:val="24"/>
          <w:szCs w:val="24"/>
        </w:rPr>
        <w:t xml:space="preserve">Чрез показателя Брутна Добавена Стойност /БДС/ се измерва производителността на икономиката. </w:t>
      </w:r>
      <w:r w:rsidR="00CC13ED">
        <w:rPr>
          <w:rFonts w:ascii="Times New Roman" w:hAnsi="Times New Roman" w:cs="Times New Roman"/>
          <w:sz w:val="24"/>
          <w:szCs w:val="24"/>
        </w:rPr>
        <w:t xml:space="preserve">Структурата на БДС </w:t>
      </w:r>
      <w:r w:rsidR="00CC13ED" w:rsidRPr="00E71648">
        <w:rPr>
          <w:rFonts w:ascii="Times New Roman" w:hAnsi="Times New Roman" w:cs="Times New Roman"/>
          <w:sz w:val="24"/>
          <w:szCs w:val="24"/>
        </w:rPr>
        <w:t>показва, че У</w:t>
      </w:r>
      <w:r w:rsidRPr="00E71648">
        <w:rPr>
          <w:rFonts w:ascii="Times New Roman" w:hAnsi="Times New Roman" w:cs="Times New Roman"/>
          <w:sz w:val="24"/>
          <w:szCs w:val="24"/>
        </w:rPr>
        <w:t>слугите са</w:t>
      </w:r>
      <w:r w:rsidRPr="0063690C">
        <w:rPr>
          <w:rFonts w:ascii="Times New Roman" w:hAnsi="Times New Roman" w:cs="Times New Roman"/>
          <w:sz w:val="24"/>
          <w:szCs w:val="24"/>
        </w:rPr>
        <w:t xml:space="preserve"> водещ сектор за областта, който създава  490  млн. лв. или 55% от БДС в област</w:t>
      </w:r>
      <w:r>
        <w:rPr>
          <w:rFonts w:ascii="Times New Roman" w:hAnsi="Times New Roman" w:cs="Times New Roman"/>
          <w:sz w:val="24"/>
          <w:szCs w:val="24"/>
        </w:rPr>
        <w:t xml:space="preserve"> Ловеч</w:t>
      </w:r>
      <w:r w:rsidRPr="0063690C">
        <w:rPr>
          <w:rFonts w:ascii="Times New Roman" w:hAnsi="Times New Roman" w:cs="Times New Roman"/>
          <w:sz w:val="24"/>
          <w:szCs w:val="24"/>
        </w:rPr>
        <w:t xml:space="preserve">. </w:t>
      </w:r>
      <w:r>
        <w:rPr>
          <w:rFonts w:ascii="Times New Roman" w:hAnsi="Times New Roman" w:cs="Times New Roman"/>
          <w:sz w:val="24"/>
          <w:szCs w:val="24"/>
        </w:rPr>
        <w:t xml:space="preserve">За периода 2014-2015 г. БДС в сектора се е увеличила с 8 млн.лв. </w:t>
      </w:r>
      <w:r w:rsidR="001925CB">
        <w:rPr>
          <w:rFonts w:ascii="Times New Roman" w:hAnsi="Times New Roman" w:cs="Times New Roman"/>
          <w:sz w:val="24"/>
          <w:szCs w:val="24"/>
        </w:rPr>
        <w:t>Наблюдава</w:t>
      </w:r>
      <w:r w:rsidRPr="0063690C">
        <w:rPr>
          <w:rFonts w:ascii="Times New Roman" w:hAnsi="Times New Roman" w:cs="Times New Roman"/>
          <w:sz w:val="24"/>
          <w:szCs w:val="24"/>
        </w:rPr>
        <w:t xml:space="preserve"> се намаляване на стойностите на показателя в секторите Индустрия и Селско, горско и рибно стопанство </w:t>
      </w:r>
      <w:r>
        <w:rPr>
          <w:rFonts w:ascii="Times New Roman" w:hAnsi="Times New Roman" w:cs="Times New Roman"/>
          <w:sz w:val="24"/>
          <w:szCs w:val="24"/>
        </w:rPr>
        <w:t>съответно с  11 млн. лв</w:t>
      </w:r>
      <w:r w:rsidR="00041643">
        <w:rPr>
          <w:rFonts w:ascii="Times New Roman" w:hAnsi="Times New Roman" w:cs="Times New Roman"/>
          <w:sz w:val="24"/>
          <w:szCs w:val="24"/>
        </w:rPr>
        <w:t>.</w:t>
      </w:r>
      <w:r>
        <w:rPr>
          <w:rFonts w:ascii="Times New Roman" w:hAnsi="Times New Roman" w:cs="Times New Roman"/>
          <w:sz w:val="24"/>
          <w:szCs w:val="24"/>
        </w:rPr>
        <w:t xml:space="preserve"> и 4 млн. лв.</w:t>
      </w:r>
    </w:p>
    <w:p w:rsidR="00A43900" w:rsidRPr="0063690C" w:rsidRDefault="00A43900" w:rsidP="00A43900">
      <w:pPr>
        <w:spacing w:after="120" w:line="360" w:lineRule="auto"/>
        <w:ind w:firstLine="709"/>
        <w:jc w:val="center"/>
        <w:rPr>
          <w:rFonts w:ascii="Times New Roman" w:hAnsi="Times New Roman" w:cs="Times New Roman"/>
          <w:sz w:val="24"/>
          <w:szCs w:val="24"/>
        </w:rPr>
      </w:pPr>
      <w:r w:rsidRPr="0063690C">
        <w:rPr>
          <w:rFonts w:ascii="Times New Roman" w:hAnsi="Times New Roman" w:cs="Times New Roman"/>
          <w:noProof/>
          <w:sz w:val="24"/>
          <w:szCs w:val="24"/>
          <w:lang w:eastAsia="bg-BG"/>
        </w:rPr>
        <w:drawing>
          <wp:inline distT="0" distB="0" distL="0" distR="0" wp14:anchorId="44324286" wp14:editId="572ED915">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9" w:name="_Toc510702852"/>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6</w:t>
      </w:r>
      <w:r w:rsidRPr="00C17917">
        <w:rPr>
          <w:rFonts w:ascii="Times New Roman" w:hAnsi="Times New Roman" w:cs="Times New Roman"/>
          <w:b w:val="0"/>
          <w:i/>
          <w:color w:val="000000" w:themeColor="text1"/>
          <w:sz w:val="24"/>
          <w:szCs w:val="24"/>
        </w:rPr>
        <w:fldChar w:fldCharType="end"/>
      </w:r>
      <w:r w:rsidR="00A43900" w:rsidRPr="00C17917">
        <w:rPr>
          <w:rFonts w:ascii="Times New Roman" w:hAnsi="Times New Roman" w:cs="Times New Roman"/>
          <w:b w:val="0"/>
          <w:i/>
          <w:color w:val="000000" w:themeColor="text1"/>
          <w:sz w:val="24"/>
          <w:szCs w:val="24"/>
        </w:rPr>
        <w:t xml:space="preserve"> БДС по икономически сектори, млн. лв. Източник: НСИ</w:t>
      </w:r>
      <w:bookmarkEnd w:id="9"/>
    </w:p>
    <w:p w:rsidR="00A43900" w:rsidRPr="0063690C" w:rsidRDefault="00A43900" w:rsidP="00A43900">
      <w:pPr>
        <w:spacing w:after="120" w:line="360" w:lineRule="auto"/>
        <w:ind w:firstLine="709"/>
        <w:jc w:val="both"/>
        <w:rPr>
          <w:rFonts w:ascii="Times New Roman" w:hAnsi="Times New Roman" w:cs="Times New Roman"/>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Инвестициите – разходи за ДМА, разходи за развойна дейност, чуждестранни инвестиции</w:t>
      </w:r>
    </w:p>
    <w:p w:rsidR="00A43900"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За периода 2014-2016 г. се забелязва известно нарастване на инвестиционната активност на предприятията в област Ловеч. Преките чуждестранни инвестиции са се увеличили с 5 149 хил. евро или 3,9%. </w:t>
      </w:r>
    </w:p>
    <w:p w:rsidR="00A43900"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Разходите за </w:t>
      </w:r>
      <w:r w:rsidRPr="0063690C">
        <w:rPr>
          <w:rFonts w:ascii="Times New Roman" w:eastAsia="Times New Roman" w:hAnsi="Times New Roman" w:cs="Times New Roman"/>
          <w:color w:val="000000"/>
          <w:sz w:val="24"/>
          <w:szCs w:val="24"/>
          <w:lang w:eastAsia="bg-BG"/>
        </w:rPr>
        <w:t>придобиване на ДМА за същия период намаляват с 22 804 хил.лв</w:t>
      </w:r>
      <w:r>
        <w:rPr>
          <w:rFonts w:ascii="Times New Roman" w:eastAsia="Times New Roman" w:hAnsi="Times New Roman" w:cs="Times New Roman"/>
          <w:color w:val="000000"/>
          <w:sz w:val="24"/>
          <w:szCs w:val="24"/>
          <w:lang w:eastAsia="bg-BG"/>
        </w:rPr>
        <w:t>. или с 12,2</w:t>
      </w:r>
      <w:r w:rsidRPr="0063690C">
        <w:rPr>
          <w:rFonts w:ascii="Times New Roman" w:eastAsia="Times New Roman" w:hAnsi="Times New Roman" w:cs="Times New Roman"/>
          <w:color w:val="000000"/>
          <w:sz w:val="24"/>
          <w:szCs w:val="24"/>
          <w:lang w:eastAsia="bg-BG"/>
        </w:rPr>
        <w:t xml:space="preserve">%. Разходите за научноизследователска и развойна дейност </w:t>
      </w:r>
      <w:r w:rsidRPr="0063690C">
        <w:rPr>
          <w:rFonts w:ascii="Times New Roman" w:hAnsi="Times New Roman" w:cs="Times New Roman"/>
          <w:sz w:val="24"/>
          <w:szCs w:val="24"/>
        </w:rPr>
        <w:t>показват положителна промяна като нарастват повече от 3 пъти, достигайки 15 402 хил.лв</w:t>
      </w:r>
      <w:r>
        <w:rPr>
          <w:rFonts w:ascii="Times New Roman" w:hAnsi="Times New Roman" w:cs="Times New Roman"/>
          <w:sz w:val="24"/>
          <w:szCs w:val="24"/>
        </w:rPr>
        <w:t>.</w:t>
      </w:r>
      <w:r w:rsidRPr="0063690C">
        <w:rPr>
          <w:rFonts w:ascii="Times New Roman" w:hAnsi="Times New Roman" w:cs="Times New Roman"/>
          <w:sz w:val="24"/>
          <w:szCs w:val="24"/>
        </w:rPr>
        <w:t xml:space="preserve"> през 2016 г.</w:t>
      </w:r>
    </w:p>
    <w:p w:rsidR="00041643" w:rsidRDefault="00041643" w:rsidP="00A43900">
      <w:pPr>
        <w:spacing w:after="120" w:line="360" w:lineRule="auto"/>
        <w:ind w:firstLine="709"/>
        <w:jc w:val="both"/>
        <w:rPr>
          <w:rFonts w:ascii="Times New Roman" w:hAnsi="Times New Roman" w:cs="Times New Roman"/>
          <w:sz w:val="24"/>
          <w:szCs w:val="24"/>
        </w:rPr>
      </w:pPr>
    </w:p>
    <w:p w:rsidR="001925CB" w:rsidRPr="0063690C" w:rsidRDefault="001925CB" w:rsidP="00A43900">
      <w:pPr>
        <w:spacing w:after="120" w:line="360" w:lineRule="auto"/>
        <w:ind w:firstLine="709"/>
        <w:jc w:val="both"/>
        <w:rPr>
          <w:rFonts w:ascii="Times New Roman" w:hAnsi="Times New Roman" w:cs="Times New Roman"/>
          <w:sz w:val="24"/>
          <w:szCs w:val="24"/>
        </w:rPr>
      </w:pP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10" w:name="_Toc510702995"/>
      <w:r w:rsidRPr="00C17917">
        <w:rPr>
          <w:rFonts w:ascii="Times New Roman" w:hAnsi="Times New Roman" w:cs="Times New Roman"/>
          <w:b w:val="0"/>
          <w:i/>
          <w:color w:val="000000" w:themeColor="text1"/>
          <w:sz w:val="24"/>
          <w:szCs w:val="24"/>
        </w:rPr>
        <w:lastRenderedPageBreak/>
        <w:t xml:space="preserve">Таблица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Таблица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 xml:space="preserve"> Динамика на инвестициите; Източник: НСИ</w:t>
      </w:r>
      <w:bookmarkEnd w:id="10"/>
    </w:p>
    <w:tbl>
      <w:tblPr>
        <w:tblStyle w:val="LightShading-Accent5"/>
        <w:tblW w:w="8520" w:type="dxa"/>
        <w:jc w:val="center"/>
        <w:tblLook w:val="04A0" w:firstRow="1" w:lastRow="0" w:firstColumn="1" w:lastColumn="0" w:noHBand="0" w:noVBand="1"/>
      </w:tblPr>
      <w:tblGrid>
        <w:gridCol w:w="4960"/>
        <w:gridCol w:w="1280"/>
        <w:gridCol w:w="1160"/>
        <w:gridCol w:w="1120"/>
      </w:tblGrid>
      <w:tr w:rsidR="00A43900" w:rsidRPr="0063690C" w:rsidTr="0004164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60" w:type="dxa"/>
            <w:noWrap/>
            <w:hideMark/>
          </w:tcPr>
          <w:p w:rsidR="00A43900" w:rsidRPr="0063690C" w:rsidRDefault="00A43900" w:rsidP="00041643">
            <w:pPr>
              <w:spacing w:after="120" w:line="360" w:lineRule="auto"/>
              <w:ind w:firstLine="709"/>
              <w:rPr>
                <w:rFonts w:ascii="Times New Roman" w:eastAsia="Times New Roman" w:hAnsi="Times New Roman" w:cs="Times New Roman"/>
                <w:color w:val="000000"/>
                <w:sz w:val="18"/>
                <w:szCs w:val="24"/>
                <w:lang w:eastAsia="bg-BG"/>
              </w:rPr>
            </w:pPr>
            <w:r w:rsidRPr="0063690C">
              <w:rPr>
                <w:rFonts w:ascii="Times New Roman" w:eastAsia="Times New Roman" w:hAnsi="Times New Roman" w:cs="Times New Roman"/>
                <w:color w:val="000000"/>
                <w:sz w:val="18"/>
                <w:szCs w:val="24"/>
                <w:lang w:eastAsia="bg-BG"/>
              </w:rPr>
              <w:t> </w:t>
            </w:r>
          </w:p>
        </w:tc>
        <w:tc>
          <w:tcPr>
            <w:tcW w:w="1280" w:type="dxa"/>
            <w:noWrap/>
            <w:hideMark/>
          </w:tcPr>
          <w:p w:rsidR="00A43900" w:rsidRPr="0063690C" w:rsidRDefault="00A43900" w:rsidP="00041643">
            <w:pPr>
              <w:spacing w:after="12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2014</w:t>
            </w:r>
          </w:p>
        </w:tc>
        <w:tc>
          <w:tcPr>
            <w:tcW w:w="1160" w:type="dxa"/>
            <w:noWrap/>
            <w:hideMark/>
          </w:tcPr>
          <w:p w:rsidR="00A43900" w:rsidRPr="0063690C" w:rsidRDefault="00A43900" w:rsidP="00041643">
            <w:pPr>
              <w:spacing w:after="12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2015</w:t>
            </w:r>
          </w:p>
        </w:tc>
        <w:tc>
          <w:tcPr>
            <w:tcW w:w="1120" w:type="dxa"/>
            <w:noWrap/>
            <w:hideMark/>
          </w:tcPr>
          <w:p w:rsidR="00A43900" w:rsidRPr="0063690C" w:rsidRDefault="00A43900" w:rsidP="00041643">
            <w:pPr>
              <w:spacing w:after="12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2016</w:t>
            </w:r>
          </w:p>
        </w:tc>
      </w:tr>
      <w:tr w:rsidR="00A43900" w:rsidRPr="0063690C" w:rsidTr="0004164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4960" w:type="dxa"/>
            <w:hideMark/>
          </w:tcPr>
          <w:p w:rsidR="00A43900" w:rsidRPr="0063690C" w:rsidRDefault="00A43900" w:rsidP="00041643">
            <w:pPr>
              <w:spacing w:after="120" w:line="360" w:lineRule="auto"/>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Чуждестранни преки инвестиции в нефинансовите предприятия с натрупване към 31.12. (хил.еврo)</w:t>
            </w:r>
          </w:p>
        </w:tc>
        <w:tc>
          <w:tcPr>
            <w:tcW w:w="1280" w:type="dxa"/>
            <w:noWrap/>
            <w:hideMark/>
          </w:tcPr>
          <w:p w:rsidR="00A43900" w:rsidRPr="0063690C" w:rsidRDefault="00A43900" w:rsidP="00041643">
            <w:pPr>
              <w:spacing w:after="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133 999.9</w:t>
            </w:r>
          </w:p>
        </w:tc>
        <w:tc>
          <w:tcPr>
            <w:tcW w:w="1160" w:type="dxa"/>
            <w:noWrap/>
            <w:hideMark/>
          </w:tcPr>
          <w:p w:rsidR="00A43900" w:rsidRPr="0063690C" w:rsidRDefault="00A43900" w:rsidP="00041643">
            <w:pPr>
              <w:spacing w:after="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147 443.1</w:t>
            </w:r>
          </w:p>
        </w:tc>
        <w:tc>
          <w:tcPr>
            <w:tcW w:w="1120" w:type="dxa"/>
            <w:noWrap/>
            <w:hideMark/>
          </w:tcPr>
          <w:p w:rsidR="00A43900" w:rsidRPr="0063690C" w:rsidRDefault="00A43900" w:rsidP="00041643">
            <w:pPr>
              <w:spacing w:after="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139 149.7</w:t>
            </w:r>
          </w:p>
        </w:tc>
      </w:tr>
      <w:tr w:rsidR="00A43900" w:rsidRPr="0063690C" w:rsidTr="00041643">
        <w:trPr>
          <w:trHeight w:val="300"/>
          <w:jc w:val="center"/>
        </w:trPr>
        <w:tc>
          <w:tcPr>
            <w:cnfStyle w:val="001000000000" w:firstRow="0" w:lastRow="0" w:firstColumn="1" w:lastColumn="0" w:oddVBand="0" w:evenVBand="0" w:oddHBand="0" w:evenHBand="0" w:firstRowFirstColumn="0" w:firstRowLastColumn="0" w:lastRowFirstColumn="0" w:lastRowLastColumn="0"/>
            <w:tcW w:w="4960" w:type="dxa"/>
            <w:hideMark/>
          </w:tcPr>
          <w:p w:rsidR="00A43900" w:rsidRPr="0063690C" w:rsidRDefault="00A43900" w:rsidP="00041643">
            <w:pPr>
              <w:spacing w:after="120" w:line="360" w:lineRule="auto"/>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Разходи за придобиване на ДМА (хил.лв) </w:t>
            </w:r>
          </w:p>
        </w:tc>
        <w:tc>
          <w:tcPr>
            <w:tcW w:w="1280" w:type="dxa"/>
            <w:noWrap/>
            <w:hideMark/>
          </w:tcPr>
          <w:p w:rsidR="00A43900" w:rsidRPr="0063690C" w:rsidRDefault="00A43900" w:rsidP="00041643">
            <w:pPr>
              <w:spacing w:after="12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186 744</w:t>
            </w:r>
          </w:p>
        </w:tc>
        <w:tc>
          <w:tcPr>
            <w:tcW w:w="1160" w:type="dxa"/>
            <w:noWrap/>
            <w:hideMark/>
          </w:tcPr>
          <w:p w:rsidR="00A43900" w:rsidRPr="0063690C" w:rsidRDefault="00A43900" w:rsidP="00041643">
            <w:pPr>
              <w:spacing w:after="12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301 926</w:t>
            </w:r>
          </w:p>
        </w:tc>
        <w:tc>
          <w:tcPr>
            <w:tcW w:w="1120" w:type="dxa"/>
            <w:noWrap/>
            <w:hideMark/>
          </w:tcPr>
          <w:p w:rsidR="00A43900" w:rsidRPr="0063690C" w:rsidRDefault="00A43900" w:rsidP="00041643">
            <w:pPr>
              <w:spacing w:after="12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163 940</w:t>
            </w:r>
          </w:p>
        </w:tc>
      </w:tr>
      <w:tr w:rsidR="00A43900" w:rsidRPr="0063690C" w:rsidTr="0004164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960" w:type="dxa"/>
            <w:hideMark/>
          </w:tcPr>
          <w:p w:rsidR="00A43900" w:rsidRPr="0063690C" w:rsidRDefault="00A43900" w:rsidP="00041643">
            <w:pPr>
              <w:spacing w:after="120" w:line="360" w:lineRule="auto"/>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Разходи за научноизследователска и развойна дейност (НИРД) (хил.лв)</w:t>
            </w:r>
          </w:p>
        </w:tc>
        <w:tc>
          <w:tcPr>
            <w:tcW w:w="1280" w:type="dxa"/>
            <w:noWrap/>
            <w:hideMark/>
          </w:tcPr>
          <w:p w:rsidR="00A43900" w:rsidRPr="0063690C" w:rsidRDefault="00A43900" w:rsidP="00041643">
            <w:pPr>
              <w:spacing w:after="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4 569</w:t>
            </w:r>
          </w:p>
        </w:tc>
        <w:tc>
          <w:tcPr>
            <w:tcW w:w="1160" w:type="dxa"/>
            <w:noWrap/>
            <w:hideMark/>
          </w:tcPr>
          <w:p w:rsidR="00A43900" w:rsidRPr="0063690C" w:rsidRDefault="00A43900" w:rsidP="00041643">
            <w:pPr>
              <w:spacing w:after="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14 482</w:t>
            </w:r>
          </w:p>
        </w:tc>
        <w:tc>
          <w:tcPr>
            <w:tcW w:w="1120" w:type="dxa"/>
            <w:noWrap/>
            <w:hideMark/>
          </w:tcPr>
          <w:p w:rsidR="00A43900" w:rsidRPr="0063690C" w:rsidRDefault="00A43900" w:rsidP="00041643">
            <w:pPr>
              <w:spacing w:after="12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bg-BG"/>
              </w:rPr>
            </w:pPr>
            <w:r w:rsidRPr="0063690C">
              <w:rPr>
                <w:rFonts w:ascii="Times New Roman" w:eastAsia="Times New Roman" w:hAnsi="Times New Roman" w:cs="Times New Roman"/>
                <w:color w:val="000000"/>
                <w:sz w:val="20"/>
                <w:szCs w:val="24"/>
                <w:lang w:eastAsia="bg-BG"/>
              </w:rPr>
              <w:t>15 402</w:t>
            </w:r>
          </w:p>
        </w:tc>
      </w:tr>
    </w:tbl>
    <w:p w:rsidR="00A43900" w:rsidRPr="0063690C" w:rsidRDefault="00A43900" w:rsidP="00A43900">
      <w:pPr>
        <w:spacing w:after="120" w:line="360" w:lineRule="auto"/>
        <w:jc w:val="both"/>
        <w:rPr>
          <w:rFonts w:ascii="Times New Roman" w:hAnsi="Times New Roman" w:cs="Times New Roman"/>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Показатели на селското стопанство – обработваема земя, култури, животни, добиви и продуктивност</w:t>
      </w:r>
    </w:p>
    <w:p w:rsidR="00A43900" w:rsidRPr="0063690C" w:rsidRDefault="00A43900" w:rsidP="00A43900">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Селскостопанският фонд</w:t>
      </w:r>
      <w:r w:rsidRPr="0063690C">
        <w:rPr>
          <w:rFonts w:ascii="Times New Roman" w:hAnsi="Times New Roman" w:cs="Times New Roman"/>
          <w:sz w:val="24"/>
          <w:szCs w:val="24"/>
        </w:rPr>
        <w:t xml:space="preserve"> в област Ловеч за </w:t>
      </w:r>
      <w:r>
        <w:rPr>
          <w:rFonts w:ascii="Times New Roman" w:hAnsi="Times New Roman" w:cs="Times New Roman"/>
          <w:sz w:val="24"/>
          <w:szCs w:val="24"/>
        </w:rPr>
        <w:t>2016 г. възлиза на 2 555 611</w:t>
      </w:r>
      <w:r w:rsidRPr="0063690C">
        <w:rPr>
          <w:rFonts w:ascii="Times New Roman" w:hAnsi="Times New Roman" w:cs="Times New Roman"/>
          <w:sz w:val="24"/>
          <w:szCs w:val="24"/>
        </w:rPr>
        <w:t xml:space="preserve"> дка и </w:t>
      </w:r>
      <w:r>
        <w:rPr>
          <w:rFonts w:ascii="Times New Roman" w:hAnsi="Times New Roman" w:cs="Times New Roman"/>
          <w:sz w:val="24"/>
          <w:szCs w:val="24"/>
        </w:rPr>
        <w:t>като за периода 2014-2016 г. се отчита намаление от</w:t>
      </w:r>
      <w:r w:rsidRPr="0063690C">
        <w:rPr>
          <w:rFonts w:ascii="Times New Roman" w:hAnsi="Times New Roman" w:cs="Times New Roman"/>
          <w:sz w:val="24"/>
          <w:szCs w:val="24"/>
        </w:rPr>
        <w:t xml:space="preserve"> 8 573 дка.</w:t>
      </w:r>
    </w:p>
    <w:p w:rsidR="00A43900" w:rsidRPr="0067337F" w:rsidRDefault="00A43900" w:rsidP="00A43900">
      <w:pPr>
        <w:spacing w:after="120" w:line="360" w:lineRule="auto"/>
        <w:ind w:firstLine="709"/>
        <w:jc w:val="both"/>
        <w:rPr>
          <w:rFonts w:ascii="Times New Roman" w:hAnsi="Times New Roman" w:cs="Times New Roman"/>
          <w:color w:val="000000"/>
          <w:sz w:val="24"/>
          <w:szCs w:val="24"/>
          <w:lang w:val="en-US"/>
        </w:rPr>
      </w:pPr>
      <w:r w:rsidRPr="00382FBE">
        <w:rPr>
          <w:rFonts w:ascii="Times New Roman" w:hAnsi="Times New Roman" w:cs="Times New Roman"/>
          <w:color w:val="000000"/>
          <w:sz w:val="24"/>
          <w:szCs w:val="24"/>
        </w:rPr>
        <w:t>В об</w:t>
      </w:r>
      <w:r w:rsidR="00041643">
        <w:rPr>
          <w:rFonts w:ascii="Times New Roman" w:hAnsi="Times New Roman" w:cs="Times New Roman"/>
          <w:color w:val="000000"/>
          <w:sz w:val="24"/>
          <w:szCs w:val="24"/>
        </w:rPr>
        <w:t>ласт Ловеч се отглеждат основно</w:t>
      </w:r>
      <w:r w:rsidRPr="00382FBE">
        <w:rPr>
          <w:rFonts w:ascii="Times New Roman" w:hAnsi="Times New Roman" w:cs="Times New Roman"/>
          <w:color w:val="000000"/>
          <w:sz w:val="24"/>
          <w:szCs w:val="24"/>
        </w:rPr>
        <w:t xml:space="preserve"> зърнено</w:t>
      </w:r>
      <w:r w:rsidR="001925CB">
        <w:rPr>
          <w:rFonts w:ascii="Times New Roman" w:hAnsi="Times New Roman" w:cs="Times New Roman"/>
          <w:color w:val="000000"/>
          <w:sz w:val="24"/>
          <w:szCs w:val="24"/>
        </w:rPr>
        <w:t>-</w:t>
      </w:r>
      <w:r w:rsidRPr="00382FBE">
        <w:rPr>
          <w:rFonts w:ascii="Times New Roman" w:hAnsi="Times New Roman" w:cs="Times New Roman"/>
          <w:color w:val="000000"/>
          <w:sz w:val="24"/>
          <w:szCs w:val="24"/>
        </w:rPr>
        <w:t>житни и технически култури. За периода 2014-2016 г. се забелязва намаляване на засетите площи с основните зърн</w:t>
      </w:r>
      <w:r>
        <w:rPr>
          <w:rFonts w:ascii="Times New Roman" w:hAnsi="Times New Roman" w:cs="Times New Roman"/>
          <w:color w:val="000000"/>
          <w:sz w:val="24"/>
          <w:szCs w:val="24"/>
        </w:rPr>
        <w:t xml:space="preserve">ени култури – пшеница, ечемик, </w:t>
      </w:r>
      <w:r w:rsidRPr="00382FBE">
        <w:rPr>
          <w:rFonts w:ascii="Times New Roman" w:hAnsi="Times New Roman" w:cs="Times New Roman"/>
          <w:color w:val="000000"/>
          <w:sz w:val="24"/>
          <w:szCs w:val="24"/>
        </w:rPr>
        <w:t>царевица</w:t>
      </w:r>
      <w:r>
        <w:rPr>
          <w:rFonts w:ascii="Times New Roman" w:hAnsi="Times New Roman" w:cs="Times New Roman"/>
          <w:color w:val="000000"/>
          <w:sz w:val="24"/>
          <w:szCs w:val="24"/>
        </w:rPr>
        <w:t xml:space="preserve"> и рапица</w:t>
      </w:r>
      <w:r w:rsidRPr="00382FBE">
        <w:rPr>
          <w:rFonts w:ascii="Times New Roman" w:hAnsi="Times New Roman" w:cs="Times New Roman"/>
          <w:color w:val="000000"/>
          <w:sz w:val="24"/>
          <w:szCs w:val="24"/>
        </w:rPr>
        <w:t xml:space="preserve">. Увеличават се само засетите площи със слънчоглед - с 11 %. </w:t>
      </w:r>
      <w:r>
        <w:rPr>
          <w:rFonts w:ascii="Times New Roman" w:hAnsi="Times New Roman" w:cs="Times New Roman"/>
          <w:color w:val="000000"/>
          <w:sz w:val="24"/>
          <w:szCs w:val="24"/>
        </w:rPr>
        <w:t>Намалява</w:t>
      </w:r>
      <w:r w:rsidR="00CC13ED">
        <w:rPr>
          <w:rFonts w:ascii="Times New Roman" w:hAnsi="Times New Roman" w:cs="Times New Roman"/>
          <w:color w:val="000000"/>
          <w:sz w:val="24"/>
          <w:szCs w:val="24"/>
        </w:rPr>
        <w:t xml:space="preserve"> </w:t>
      </w:r>
      <w:r w:rsidRPr="00382FBE">
        <w:rPr>
          <w:rFonts w:ascii="Times New Roman" w:hAnsi="Times New Roman" w:cs="Times New Roman"/>
          <w:color w:val="000000"/>
          <w:sz w:val="24"/>
          <w:szCs w:val="24"/>
        </w:rPr>
        <w:t xml:space="preserve">производството </w:t>
      </w:r>
      <w:r>
        <w:rPr>
          <w:rFonts w:ascii="Times New Roman" w:hAnsi="Times New Roman" w:cs="Times New Roman"/>
          <w:color w:val="000000"/>
          <w:sz w:val="24"/>
          <w:szCs w:val="24"/>
        </w:rPr>
        <w:t>на пшеница (с 2,6%), рапица (</w:t>
      </w:r>
      <w:r w:rsidR="00CC13ED">
        <w:rPr>
          <w:rFonts w:ascii="Times New Roman" w:hAnsi="Times New Roman" w:cs="Times New Roman"/>
          <w:color w:val="000000"/>
          <w:sz w:val="24"/>
          <w:szCs w:val="24"/>
        </w:rPr>
        <w:t>с 44,6%) и слънчоглед (с 14,4%),</w:t>
      </w:r>
      <w:r>
        <w:rPr>
          <w:rFonts w:ascii="Times New Roman" w:hAnsi="Times New Roman" w:cs="Times New Roman"/>
          <w:color w:val="000000"/>
          <w:sz w:val="24"/>
          <w:szCs w:val="24"/>
        </w:rPr>
        <w:t xml:space="preserve"> </w:t>
      </w:r>
      <w:r w:rsidR="00CC13ED">
        <w:rPr>
          <w:rFonts w:ascii="Times New Roman" w:hAnsi="Times New Roman" w:cs="Times New Roman"/>
          <w:color w:val="000000"/>
          <w:sz w:val="24"/>
          <w:szCs w:val="24"/>
        </w:rPr>
        <w:t>п</w:t>
      </w:r>
      <w:r>
        <w:rPr>
          <w:rFonts w:ascii="Times New Roman" w:hAnsi="Times New Roman" w:cs="Times New Roman"/>
          <w:color w:val="000000"/>
          <w:sz w:val="24"/>
          <w:szCs w:val="24"/>
        </w:rPr>
        <w:t>роизводството</w:t>
      </w:r>
      <w:r w:rsidRPr="00382FBE">
        <w:rPr>
          <w:rFonts w:ascii="Times New Roman" w:hAnsi="Times New Roman" w:cs="Times New Roman"/>
          <w:color w:val="000000"/>
          <w:sz w:val="24"/>
          <w:szCs w:val="24"/>
        </w:rPr>
        <w:t xml:space="preserve"> на ечемик </w:t>
      </w:r>
      <w:r>
        <w:rPr>
          <w:rFonts w:ascii="Times New Roman" w:hAnsi="Times New Roman" w:cs="Times New Roman"/>
          <w:color w:val="000000"/>
          <w:sz w:val="24"/>
          <w:szCs w:val="24"/>
        </w:rPr>
        <w:t>се увеличава с 4,6%</w:t>
      </w:r>
      <w:r>
        <w:rPr>
          <w:rFonts w:ascii="Times New Roman" w:hAnsi="Times New Roman" w:cs="Times New Roman"/>
          <w:color w:val="000000"/>
          <w:sz w:val="24"/>
          <w:szCs w:val="24"/>
          <w:lang w:val="en-US"/>
        </w:rPr>
        <w:t>.</w:t>
      </w:r>
    </w:p>
    <w:p w:rsidR="00A43900" w:rsidRPr="0063690C" w:rsidRDefault="00A43900" w:rsidP="00A43900">
      <w:pPr>
        <w:spacing w:after="120" w:line="360" w:lineRule="auto"/>
        <w:ind w:firstLine="709"/>
        <w:jc w:val="both"/>
        <w:rPr>
          <w:rFonts w:ascii="Times New Roman" w:hAnsi="Times New Roman" w:cs="Times New Roman"/>
          <w:color w:val="000000"/>
          <w:sz w:val="24"/>
          <w:szCs w:val="24"/>
          <w:lang w:val="en-US"/>
        </w:rPr>
      </w:pPr>
      <w:r w:rsidRPr="0063690C">
        <w:rPr>
          <w:rFonts w:ascii="Times New Roman" w:hAnsi="Times New Roman" w:cs="Times New Roman"/>
          <w:color w:val="000000"/>
          <w:sz w:val="24"/>
          <w:szCs w:val="24"/>
        </w:rPr>
        <w:t>За периода 2014-2016 г. се забелязва леко увеличение на площите с ниви (с 0,93 %) и лозя (с 4,04 %). Намалява площта на ливадите и пасищата (с 5,16 %), както и на трайните насаждения (с 1,94 %).</w:t>
      </w:r>
    </w:p>
    <w:p w:rsidR="00A43900" w:rsidRPr="0063690C" w:rsidRDefault="00A43900" w:rsidP="001925CB">
      <w:pPr>
        <w:spacing w:after="120" w:line="360" w:lineRule="auto"/>
        <w:ind w:firstLine="709"/>
        <w:jc w:val="center"/>
        <w:rPr>
          <w:rFonts w:ascii="Times New Roman" w:hAnsi="Times New Roman" w:cs="Times New Roman"/>
          <w:color w:val="000000"/>
          <w:sz w:val="24"/>
          <w:szCs w:val="24"/>
          <w:lang w:val="en-US"/>
        </w:rPr>
      </w:pPr>
      <w:r w:rsidRPr="0063690C">
        <w:rPr>
          <w:rFonts w:ascii="Times New Roman" w:hAnsi="Times New Roman" w:cs="Times New Roman"/>
          <w:noProof/>
          <w:sz w:val="24"/>
          <w:szCs w:val="24"/>
          <w:lang w:eastAsia="bg-BG"/>
        </w:rPr>
        <w:drawing>
          <wp:inline distT="0" distB="0" distL="0" distR="0" wp14:anchorId="0FDE8ED1" wp14:editId="6819B0AE">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11" w:name="_Toc510702853"/>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7</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Баланс на земеделската земя; Източник: ОДЗ “Земеделие” гр. Ловеч</w:t>
      </w:r>
      <w:bookmarkEnd w:id="11"/>
    </w:p>
    <w:p w:rsidR="00A43900" w:rsidRPr="0063690C" w:rsidRDefault="00A43900" w:rsidP="00A43900">
      <w:pPr>
        <w:spacing w:after="120" w:line="360" w:lineRule="auto"/>
        <w:ind w:firstLine="709"/>
        <w:jc w:val="both"/>
        <w:rPr>
          <w:rFonts w:ascii="Times New Roman" w:hAnsi="Times New Roman" w:cs="Times New Roman"/>
          <w:color w:val="000000"/>
          <w:sz w:val="24"/>
          <w:szCs w:val="24"/>
          <w:lang w:val="en-US"/>
        </w:rPr>
      </w:pPr>
    </w:p>
    <w:p w:rsidR="00A43900" w:rsidRDefault="00A43900" w:rsidP="00A43900">
      <w:pPr>
        <w:spacing w:after="120" w:line="360" w:lineRule="auto"/>
        <w:ind w:firstLine="709"/>
        <w:jc w:val="both"/>
        <w:rPr>
          <w:rFonts w:ascii="Times New Roman" w:hAnsi="Times New Roman" w:cs="Times New Roman"/>
          <w:color w:val="000000"/>
          <w:sz w:val="24"/>
          <w:szCs w:val="24"/>
        </w:rPr>
      </w:pPr>
      <w:r w:rsidRPr="0063690C">
        <w:rPr>
          <w:rFonts w:ascii="Times New Roman" w:hAnsi="Times New Roman" w:cs="Times New Roman"/>
          <w:color w:val="000000"/>
          <w:sz w:val="24"/>
          <w:szCs w:val="24"/>
        </w:rPr>
        <w:lastRenderedPageBreak/>
        <w:t>По данни на Областна дирекция „Земеделие“</w:t>
      </w:r>
      <w:r w:rsidR="00041643">
        <w:rPr>
          <w:rFonts w:ascii="Times New Roman" w:hAnsi="Times New Roman" w:cs="Times New Roman"/>
          <w:color w:val="000000"/>
          <w:sz w:val="24"/>
          <w:szCs w:val="24"/>
        </w:rPr>
        <w:t xml:space="preserve"> </w:t>
      </w:r>
      <w:r w:rsidRPr="0063690C">
        <w:rPr>
          <w:rFonts w:ascii="Times New Roman" w:hAnsi="Times New Roman" w:cs="Times New Roman"/>
          <w:color w:val="000000"/>
          <w:sz w:val="24"/>
          <w:szCs w:val="24"/>
        </w:rPr>
        <w:t>Ловеч броят на животните през 2016 г. е 398 709. Забелязва се намаление на техния брой сп</w:t>
      </w:r>
      <w:r w:rsidR="00041643">
        <w:rPr>
          <w:rFonts w:ascii="Times New Roman" w:hAnsi="Times New Roman" w:cs="Times New Roman"/>
          <w:color w:val="000000"/>
          <w:sz w:val="24"/>
          <w:szCs w:val="24"/>
        </w:rPr>
        <w:t>рямо 2014 г. с 30 305 или 7,06</w:t>
      </w:r>
      <w:r w:rsidRPr="0063690C">
        <w:rPr>
          <w:rFonts w:ascii="Times New Roman" w:hAnsi="Times New Roman" w:cs="Times New Roman"/>
          <w:color w:val="000000"/>
          <w:sz w:val="24"/>
          <w:szCs w:val="24"/>
        </w:rPr>
        <w:t>%. В структурата на животновъдството най-голям е делът на птиците, а най-малък – този на биволите. За периода 2014-2016 г. се отчита увеличаване на броя и относителния дял на говедата (със 17,85 %), биволите (с 5,41 %), овцете (с 29,72 %), козите (с 12,72 %) и пчелните семейства (с 36,6 %). Намалява броя на свинете ( с 55,33 %) и птиците (с 14,23 %).</w:t>
      </w:r>
    </w:p>
    <w:p w:rsidR="00A43900" w:rsidRPr="0063690C" w:rsidRDefault="00A43900" w:rsidP="001925CB">
      <w:pPr>
        <w:spacing w:after="120" w:line="360" w:lineRule="auto"/>
        <w:ind w:firstLine="709"/>
        <w:jc w:val="center"/>
        <w:rPr>
          <w:rFonts w:ascii="Times New Roman" w:hAnsi="Times New Roman" w:cs="Times New Roman"/>
          <w:color w:val="000000"/>
          <w:sz w:val="24"/>
          <w:szCs w:val="24"/>
        </w:rPr>
      </w:pPr>
      <w:r w:rsidRPr="0063690C">
        <w:rPr>
          <w:rFonts w:ascii="Times New Roman" w:hAnsi="Times New Roman" w:cs="Times New Roman"/>
          <w:noProof/>
          <w:sz w:val="24"/>
          <w:szCs w:val="24"/>
          <w:lang w:eastAsia="bg-BG"/>
        </w:rPr>
        <w:drawing>
          <wp:inline distT="0" distB="0" distL="0" distR="0" wp14:anchorId="23A4B0DE" wp14:editId="0021F10B">
            <wp:extent cx="4692580" cy="2924070"/>
            <wp:effectExtent l="0" t="0" r="13335"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12" w:name="_Toc510702854"/>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8</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 xml:space="preserve"> Брой животни по видове; Източник: ОДЗ “Земеделие” гр. Ловеч</w:t>
      </w:r>
      <w:bookmarkEnd w:id="12"/>
    </w:p>
    <w:p w:rsidR="00D07767" w:rsidRDefault="00D07767" w:rsidP="00A43900">
      <w:pPr>
        <w:spacing w:after="120" w:line="360" w:lineRule="auto"/>
        <w:ind w:firstLine="709"/>
        <w:jc w:val="both"/>
        <w:rPr>
          <w:rFonts w:ascii="Times New Roman" w:hAnsi="Times New Roman" w:cs="Times New Roman"/>
          <w:color w:val="000000"/>
          <w:sz w:val="24"/>
          <w:szCs w:val="24"/>
        </w:rPr>
      </w:pPr>
    </w:p>
    <w:p w:rsidR="00A43900" w:rsidRPr="00041643" w:rsidRDefault="00A43900" w:rsidP="00A43900">
      <w:pPr>
        <w:spacing w:after="120" w:line="360" w:lineRule="auto"/>
        <w:ind w:firstLine="709"/>
        <w:jc w:val="both"/>
        <w:rPr>
          <w:rFonts w:ascii="Times New Roman" w:hAnsi="Times New Roman" w:cs="Times New Roman"/>
          <w:color w:val="000000"/>
          <w:sz w:val="24"/>
          <w:szCs w:val="24"/>
        </w:rPr>
      </w:pPr>
      <w:r w:rsidRPr="00041643">
        <w:rPr>
          <w:rFonts w:ascii="Times New Roman" w:hAnsi="Times New Roman" w:cs="Times New Roman"/>
          <w:color w:val="000000"/>
          <w:sz w:val="24"/>
          <w:szCs w:val="24"/>
        </w:rPr>
        <w:t>Регистрираните земеделски стопани за стопанската 2015/2016 година в област Ловеч са 1 334 броя, като от тях: физически лица са 1 101 броя, а юридически лица – 233 броя. Новорегистрираните земеделски стопани в областта са 173 броя, а отписаните земеделски производители - 32 броя.</w:t>
      </w:r>
    </w:p>
    <w:p w:rsidR="00A43900" w:rsidRPr="00041643" w:rsidRDefault="00A43900" w:rsidP="00A43900">
      <w:pPr>
        <w:spacing w:after="120" w:line="360" w:lineRule="auto"/>
        <w:ind w:firstLine="709"/>
        <w:jc w:val="both"/>
        <w:rPr>
          <w:rFonts w:ascii="Times New Roman" w:hAnsi="Times New Roman" w:cs="Times New Roman"/>
          <w:color w:val="000000"/>
          <w:sz w:val="24"/>
          <w:szCs w:val="24"/>
        </w:rPr>
      </w:pPr>
      <w:r w:rsidRPr="00041643">
        <w:rPr>
          <w:rFonts w:ascii="Times New Roman" w:hAnsi="Times New Roman" w:cs="Times New Roman"/>
          <w:color w:val="000000"/>
          <w:sz w:val="24"/>
          <w:szCs w:val="24"/>
        </w:rPr>
        <w:t>Пререгистрирани земеделски стопани за стопанската 2016/2017 година са 233 броя, а новорегистрираните - 26 броя.</w:t>
      </w:r>
    </w:p>
    <w:p w:rsidR="00A43900" w:rsidRPr="00041643" w:rsidRDefault="00A43900" w:rsidP="00A43900">
      <w:pPr>
        <w:spacing w:after="120" w:line="360" w:lineRule="auto"/>
        <w:ind w:firstLine="709"/>
        <w:jc w:val="both"/>
        <w:rPr>
          <w:rFonts w:ascii="Times New Roman" w:hAnsi="Times New Roman" w:cs="Times New Roman"/>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Динамика на потреблението /нетни приходи от продажби/</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В структурата на потреблението в област Ловеч преобладават стоките от първа необходимост – храни и хранителни продукти. Най-голямо е потреблението на хляб и тестени изделия, месо, зеленчуци и плодове.</w:t>
      </w:r>
      <w:r w:rsidR="00041643">
        <w:rPr>
          <w:rFonts w:ascii="Times New Roman" w:hAnsi="Times New Roman" w:cs="Times New Roman"/>
          <w:sz w:val="24"/>
          <w:szCs w:val="24"/>
        </w:rPr>
        <w:t xml:space="preserve"> </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На територията на областта през 2015 г. са функционирали 5460 предприятия, в които са заети 29655 души. Предприятията са с 9 по-малко от предходната година, а броят на заетите е намалял с 564 души. Реализираните нетни приходи от продажби през 2015 г. са в </w:t>
      </w:r>
      <w:r w:rsidRPr="0063690C">
        <w:rPr>
          <w:rFonts w:ascii="Times New Roman" w:hAnsi="Times New Roman" w:cs="Times New Roman"/>
          <w:sz w:val="24"/>
          <w:szCs w:val="24"/>
        </w:rPr>
        <w:lastRenderedPageBreak/>
        <w:t>размер на 2186374 хил. лв., което е с 136</w:t>
      </w:r>
      <w:r w:rsidR="00041643">
        <w:rPr>
          <w:rFonts w:ascii="Times New Roman" w:hAnsi="Times New Roman" w:cs="Times New Roman"/>
          <w:sz w:val="24"/>
          <w:szCs w:val="24"/>
        </w:rPr>
        <w:t xml:space="preserve"> </w:t>
      </w:r>
      <w:r w:rsidRPr="0063690C">
        <w:rPr>
          <w:rFonts w:ascii="Times New Roman" w:hAnsi="Times New Roman" w:cs="Times New Roman"/>
          <w:sz w:val="24"/>
          <w:szCs w:val="24"/>
        </w:rPr>
        <w:t>783 хил. лв. повече от предходната година. Рентабилността на продажбите обаче намалява от 6,8% през 2014 г. до 2,0% през 2015 г. Наличните ДМА на територията на област Ловеч през 2015 г. са за 1</w:t>
      </w:r>
      <w:r w:rsidR="00041643">
        <w:rPr>
          <w:rFonts w:ascii="Times New Roman" w:hAnsi="Times New Roman" w:cs="Times New Roman"/>
          <w:sz w:val="24"/>
          <w:szCs w:val="24"/>
        </w:rPr>
        <w:t xml:space="preserve"> </w:t>
      </w:r>
      <w:r w:rsidRPr="0063690C">
        <w:rPr>
          <w:rFonts w:ascii="Times New Roman" w:hAnsi="Times New Roman" w:cs="Times New Roman"/>
          <w:sz w:val="24"/>
          <w:szCs w:val="24"/>
        </w:rPr>
        <w:t>082</w:t>
      </w:r>
      <w:r w:rsidR="00041643">
        <w:rPr>
          <w:rFonts w:ascii="Times New Roman" w:hAnsi="Times New Roman" w:cs="Times New Roman"/>
          <w:sz w:val="24"/>
          <w:szCs w:val="24"/>
        </w:rPr>
        <w:t xml:space="preserve"> </w:t>
      </w:r>
      <w:r w:rsidRPr="0063690C">
        <w:rPr>
          <w:rFonts w:ascii="Times New Roman" w:hAnsi="Times New Roman" w:cs="Times New Roman"/>
          <w:sz w:val="24"/>
          <w:szCs w:val="24"/>
        </w:rPr>
        <w:t>539 хил. лв. като се забелязва покачване с 44</w:t>
      </w:r>
      <w:r w:rsidR="00041643">
        <w:rPr>
          <w:rFonts w:ascii="Times New Roman" w:hAnsi="Times New Roman" w:cs="Times New Roman"/>
          <w:sz w:val="24"/>
          <w:szCs w:val="24"/>
        </w:rPr>
        <w:t xml:space="preserve"> </w:t>
      </w:r>
      <w:r w:rsidRPr="0063690C">
        <w:rPr>
          <w:rFonts w:ascii="Times New Roman" w:hAnsi="Times New Roman" w:cs="Times New Roman"/>
          <w:sz w:val="24"/>
          <w:szCs w:val="24"/>
        </w:rPr>
        <w:t>527 хил. лв. в сравнение с 2014 г. Оперативната рентабилност леко намалява, достигайки 101,8% през 2015 г.</w:t>
      </w:r>
    </w:p>
    <w:p w:rsidR="00A43900" w:rsidRPr="0063690C" w:rsidRDefault="00A43900" w:rsidP="00A43900">
      <w:pPr>
        <w:spacing w:after="120" w:line="360" w:lineRule="auto"/>
        <w:ind w:firstLine="709"/>
        <w:jc w:val="both"/>
        <w:rPr>
          <w:rFonts w:ascii="Times New Roman" w:hAnsi="Times New Roman" w:cs="Times New Roman"/>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Състояние на околната среда</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Област Ловеч показва относително добро представяне по отношение на опазването на околната среда. През последните години показателите за състоянието на околната среда значително са се подобрили.</w:t>
      </w:r>
    </w:p>
    <w:p w:rsidR="00A43900" w:rsidRPr="000A2575" w:rsidRDefault="00A43900" w:rsidP="00A43900">
      <w:pPr>
        <w:spacing w:after="120" w:line="360" w:lineRule="auto"/>
        <w:ind w:firstLine="709"/>
        <w:jc w:val="both"/>
        <w:rPr>
          <w:rFonts w:ascii="Times New Roman" w:hAnsi="Times New Roman" w:cs="Times New Roman"/>
          <w:color w:val="365F91" w:themeColor="accent1" w:themeShade="BF"/>
          <w:sz w:val="24"/>
          <w:szCs w:val="24"/>
        </w:rPr>
      </w:pPr>
      <w:r w:rsidRPr="000A2575">
        <w:rPr>
          <w:rFonts w:ascii="Times New Roman" w:hAnsi="Times New Roman" w:cs="Times New Roman"/>
          <w:color w:val="365F91" w:themeColor="accent1" w:themeShade="BF"/>
          <w:sz w:val="24"/>
          <w:szCs w:val="24"/>
        </w:rPr>
        <w:t>Атмосферен въздух</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Забелязва се трайна тенденция на подобряване качеството на атмосферния въздух. Емисиите на въглероден диоксид в атмосферата са над 3 пъти по-ниски от средните нива за страната и възлизат на 93,8 т/км</w:t>
      </w:r>
      <w:r w:rsidRPr="0063690C">
        <w:rPr>
          <w:rFonts w:ascii="Times New Roman" w:hAnsi="Times New Roman" w:cs="Times New Roman"/>
          <w:sz w:val="24"/>
          <w:szCs w:val="24"/>
          <w:vertAlign w:val="superscript"/>
        </w:rPr>
        <w:t>2</w:t>
      </w:r>
      <w:r w:rsidRPr="0063690C">
        <w:rPr>
          <w:rFonts w:ascii="Times New Roman" w:hAnsi="Times New Roman" w:cs="Times New Roman"/>
          <w:sz w:val="24"/>
          <w:szCs w:val="24"/>
        </w:rPr>
        <w:t>.</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Данните от </w:t>
      </w:r>
      <w:r w:rsidRPr="00E71648">
        <w:rPr>
          <w:rFonts w:ascii="Times New Roman" w:hAnsi="Times New Roman" w:cs="Times New Roman"/>
          <w:sz w:val="24"/>
          <w:szCs w:val="24"/>
        </w:rPr>
        <w:t>мониторинга на ФПЧ</w:t>
      </w:r>
      <w:r w:rsidRPr="00E71648">
        <w:rPr>
          <w:rFonts w:ascii="Times New Roman" w:hAnsi="Times New Roman" w:cs="Times New Roman"/>
          <w:sz w:val="24"/>
          <w:szCs w:val="24"/>
          <w:vertAlign w:val="subscript"/>
        </w:rPr>
        <w:t>10</w:t>
      </w:r>
      <w:r w:rsidRPr="00E71648">
        <w:rPr>
          <w:rFonts w:ascii="Times New Roman" w:hAnsi="Times New Roman" w:cs="Times New Roman"/>
          <w:sz w:val="24"/>
          <w:szCs w:val="24"/>
        </w:rPr>
        <w:t xml:space="preserve"> за периода 2014-2016 г. показват намаляване на броя на превишенията на средноденонощната норма (СДН) за ФПЧ</w:t>
      </w:r>
      <w:r w:rsidRPr="00E71648">
        <w:rPr>
          <w:rFonts w:ascii="Times New Roman" w:hAnsi="Times New Roman" w:cs="Times New Roman"/>
          <w:sz w:val="24"/>
          <w:szCs w:val="24"/>
          <w:vertAlign w:val="subscript"/>
        </w:rPr>
        <w:t>10</w:t>
      </w:r>
      <w:r w:rsidRPr="00E71648">
        <w:rPr>
          <w:rFonts w:ascii="Times New Roman" w:hAnsi="Times New Roman" w:cs="Times New Roman"/>
          <w:sz w:val="24"/>
          <w:szCs w:val="24"/>
        </w:rPr>
        <w:t xml:space="preserve"> със 74%. Според Наредба №12 на МОСВ и МЗ към ЗЧАВ среднодено</w:t>
      </w:r>
      <w:r w:rsidR="000A2575" w:rsidRPr="00E71648">
        <w:rPr>
          <w:rFonts w:ascii="Times New Roman" w:hAnsi="Times New Roman" w:cs="Times New Roman"/>
          <w:sz w:val="24"/>
          <w:szCs w:val="24"/>
        </w:rPr>
        <w:t>но</w:t>
      </w:r>
      <w:r w:rsidRPr="00E71648">
        <w:rPr>
          <w:rFonts w:ascii="Times New Roman" w:hAnsi="Times New Roman" w:cs="Times New Roman"/>
          <w:sz w:val="24"/>
          <w:szCs w:val="24"/>
        </w:rPr>
        <w:t>щната норма</w:t>
      </w:r>
      <w:r w:rsidRPr="0063690C">
        <w:rPr>
          <w:rFonts w:ascii="Times New Roman" w:hAnsi="Times New Roman" w:cs="Times New Roman"/>
          <w:sz w:val="24"/>
          <w:szCs w:val="24"/>
        </w:rPr>
        <w:t xml:space="preserve"> за опазване на човешкото здраве - 50 µg/m</w:t>
      </w:r>
      <w:r w:rsidRPr="0063690C">
        <w:rPr>
          <w:rFonts w:ascii="Times New Roman" w:hAnsi="Times New Roman" w:cs="Times New Roman"/>
          <w:sz w:val="24"/>
          <w:szCs w:val="24"/>
          <w:vertAlign w:val="superscript"/>
        </w:rPr>
        <w:t>3</w:t>
      </w:r>
      <w:r w:rsidRPr="0063690C">
        <w:rPr>
          <w:rFonts w:ascii="Times New Roman" w:hAnsi="Times New Roman" w:cs="Times New Roman"/>
          <w:sz w:val="24"/>
          <w:szCs w:val="24"/>
        </w:rPr>
        <w:t xml:space="preserve"> не трябва да бъде превишавана повече от 35 пъти в рамките на 1 календарна година, а за област Ловеч тя е превишавана 39 пъти през 2016 година, което е само с 4 броя повече от допустимото. През 2016 година броят на превишенията през отоплителния период е намалял със 68%. През неотоплителния период е регистрирано само 1 прев</w:t>
      </w:r>
      <w:r>
        <w:rPr>
          <w:rFonts w:ascii="Times New Roman" w:hAnsi="Times New Roman" w:cs="Times New Roman"/>
          <w:sz w:val="24"/>
          <w:szCs w:val="24"/>
        </w:rPr>
        <w:t>и</w:t>
      </w:r>
      <w:r w:rsidRPr="0063690C">
        <w:rPr>
          <w:rFonts w:ascii="Times New Roman" w:hAnsi="Times New Roman" w:cs="Times New Roman"/>
          <w:sz w:val="24"/>
          <w:szCs w:val="24"/>
        </w:rPr>
        <w:t>шение на СДН за ФПЧ</w:t>
      </w:r>
      <w:r w:rsidRPr="00E81760">
        <w:rPr>
          <w:rFonts w:ascii="Times New Roman" w:hAnsi="Times New Roman" w:cs="Times New Roman"/>
          <w:sz w:val="24"/>
          <w:szCs w:val="24"/>
          <w:vertAlign w:val="subscript"/>
        </w:rPr>
        <w:t>10</w:t>
      </w:r>
      <w:r w:rsidRPr="0063690C">
        <w:rPr>
          <w:rFonts w:ascii="Times New Roman" w:hAnsi="Times New Roman" w:cs="Times New Roman"/>
          <w:sz w:val="24"/>
          <w:szCs w:val="24"/>
        </w:rPr>
        <w:t xml:space="preserve">. </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Според наредбата средногодишна норма (СГН) за опазване на човешкото здраве е 40 µg/m</w:t>
      </w:r>
      <w:r w:rsidRPr="0063690C">
        <w:rPr>
          <w:rFonts w:ascii="Times New Roman" w:hAnsi="Times New Roman" w:cs="Times New Roman"/>
          <w:sz w:val="24"/>
          <w:szCs w:val="24"/>
          <w:vertAlign w:val="superscript"/>
        </w:rPr>
        <w:t>3</w:t>
      </w:r>
      <w:r w:rsidRPr="0063690C">
        <w:rPr>
          <w:rFonts w:ascii="Times New Roman" w:hAnsi="Times New Roman" w:cs="Times New Roman"/>
          <w:sz w:val="24"/>
          <w:szCs w:val="24"/>
        </w:rPr>
        <w:t>. Средногодишната концентрация на ФПЧ</w:t>
      </w:r>
      <w:r w:rsidRPr="00E81760">
        <w:rPr>
          <w:rFonts w:ascii="Times New Roman" w:hAnsi="Times New Roman" w:cs="Times New Roman"/>
          <w:sz w:val="24"/>
          <w:szCs w:val="24"/>
          <w:vertAlign w:val="subscript"/>
        </w:rPr>
        <w:t>10</w:t>
      </w:r>
      <w:r w:rsidRPr="0063690C">
        <w:rPr>
          <w:rFonts w:ascii="Times New Roman" w:hAnsi="Times New Roman" w:cs="Times New Roman"/>
          <w:sz w:val="24"/>
          <w:szCs w:val="24"/>
        </w:rPr>
        <w:t xml:space="preserve"> в област Ловеч през 2016 г. е 31,3 µg/m</w:t>
      </w:r>
      <w:r w:rsidRPr="0063690C">
        <w:rPr>
          <w:rFonts w:ascii="Times New Roman" w:hAnsi="Times New Roman" w:cs="Times New Roman"/>
          <w:sz w:val="24"/>
          <w:szCs w:val="24"/>
          <w:vertAlign w:val="superscript"/>
        </w:rPr>
        <w:t>3</w:t>
      </w:r>
      <w:r w:rsidRPr="0063690C">
        <w:rPr>
          <w:rFonts w:ascii="Times New Roman" w:hAnsi="Times New Roman" w:cs="Times New Roman"/>
          <w:sz w:val="24"/>
          <w:szCs w:val="24"/>
        </w:rPr>
        <w:t>, което е с 40,8% по-малко от 2014 г. Тези данни показват устойчива тенденция на подобряване на качеството на атмосферния въздух по отношение на показателя ФПЧ</w:t>
      </w:r>
      <w:r w:rsidRPr="00E81760">
        <w:rPr>
          <w:rFonts w:ascii="Times New Roman" w:hAnsi="Times New Roman" w:cs="Times New Roman"/>
          <w:sz w:val="24"/>
          <w:szCs w:val="24"/>
          <w:vertAlign w:val="subscript"/>
        </w:rPr>
        <w:t>10</w:t>
      </w:r>
      <w:r w:rsidRPr="0063690C">
        <w:rPr>
          <w:rFonts w:ascii="Times New Roman" w:hAnsi="Times New Roman" w:cs="Times New Roman"/>
          <w:sz w:val="24"/>
          <w:szCs w:val="24"/>
        </w:rPr>
        <w:t xml:space="preserve">. </w:t>
      </w:r>
    </w:p>
    <w:p w:rsidR="00A43900" w:rsidRPr="000A2575" w:rsidRDefault="00A43900" w:rsidP="00A43900">
      <w:pPr>
        <w:spacing w:after="120" w:line="360" w:lineRule="auto"/>
        <w:ind w:firstLine="709"/>
        <w:jc w:val="both"/>
        <w:rPr>
          <w:rFonts w:ascii="Times New Roman" w:hAnsi="Times New Roman" w:cs="Times New Roman"/>
          <w:color w:val="365F91" w:themeColor="accent1" w:themeShade="BF"/>
          <w:sz w:val="24"/>
          <w:szCs w:val="24"/>
        </w:rPr>
      </w:pPr>
      <w:r w:rsidRPr="000A2575">
        <w:rPr>
          <w:rFonts w:ascii="Times New Roman" w:hAnsi="Times New Roman" w:cs="Times New Roman"/>
          <w:color w:val="365F91" w:themeColor="accent1" w:themeShade="BF"/>
          <w:sz w:val="24"/>
          <w:szCs w:val="24"/>
        </w:rPr>
        <w:t>Отпадъци</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Образуваните битови отпадъци на глава от населението в област Ло</w:t>
      </w:r>
      <w:r>
        <w:rPr>
          <w:rFonts w:ascii="Times New Roman" w:hAnsi="Times New Roman" w:cs="Times New Roman"/>
          <w:sz w:val="24"/>
          <w:szCs w:val="24"/>
        </w:rPr>
        <w:t>веч също са сравнително малко. За 2015 г. т</w:t>
      </w:r>
      <w:r w:rsidRPr="0063690C">
        <w:rPr>
          <w:rFonts w:ascii="Times New Roman" w:hAnsi="Times New Roman" w:cs="Times New Roman"/>
          <w:sz w:val="24"/>
          <w:szCs w:val="24"/>
        </w:rPr>
        <w:t>е възлизат на 383 кг/човек/год</w:t>
      </w:r>
      <w:r w:rsidR="000A2575">
        <w:rPr>
          <w:rFonts w:ascii="Times New Roman" w:hAnsi="Times New Roman" w:cs="Times New Roman"/>
          <w:sz w:val="24"/>
          <w:szCs w:val="24"/>
        </w:rPr>
        <w:t>.</w:t>
      </w:r>
      <w:r w:rsidRPr="0063690C">
        <w:rPr>
          <w:rFonts w:ascii="Times New Roman" w:hAnsi="Times New Roman" w:cs="Times New Roman"/>
          <w:sz w:val="24"/>
          <w:szCs w:val="24"/>
        </w:rPr>
        <w:t xml:space="preserve">, което е с 5,7% по-малко от предходната година. През 2015  г. с откриването на третото стъпало на пречиствателната станция на град Ловеч свързаността с пречиствателни станции в областта се повишава. Делът на населението с достъп до канализацията, свързано с пречиствателни станции за отпадъчни води е 56,6 % през 2015 година, което е с 15,4% повече от предходната. Увеличава се и делът </w:t>
      </w:r>
      <w:r w:rsidRPr="0063690C">
        <w:rPr>
          <w:rFonts w:ascii="Times New Roman" w:hAnsi="Times New Roman" w:cs="Times New Roman"/>
          <w:sz w:val="24"/>
          <w:szCs w:val="24"/>
        </w:rPr>
        <w:lastRenderedPageBreak/>
        <w:t>на населението в селища с</w:t>
      </w:r>
      <w:r>
        <w:rPr>
          <w:rFonts w:ascii="Times New Roman" w:hAnsi="Times New Roman" w:cs="Times New Roman"/>
          <w:sz w:val="24"/>
          <w:szCs w:val="24"/>
        </w:rPr>
        <w:t xml:space="preserve"> обществена канализация – с 4,7</w:t>
      </w:r>
      <w:r w:rsidRPr="0063690C">
        <w:rPr>
          <w:rFonts w:ascii="Times New Roman" w:hAnsi="Times New Roman" w:cs="Times New Roman"/>
          <w:sz w:val="24"/>
          <w:szCs w:val="24"/>
        </w:rPr>
        <w:t xml:space="preserve">%. През 2015 г. неговият дял възлиза на 68,8%. </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За периода 2014-2016 г. се наблюдава покачване на разходите за опазване на околната среда. Дълготрайните материални активи с екологично предназначение също бележат ръст, възлизайки на 181 208 хил.лв</w:t>
      </w:r>
      <w:r>
        <w:rPr>
          <w:rFonts w:ascii="Times New Roman" w:hAnsi="Times New Roman" w:cs="Times New Roman"/>
          <w:sz w:val="24"/>
          <w:szCs w:val="24"/>
        </w:rPr>
        <w:t>.</w:t>
      </w:r>
      <w:r w:rsidRPr="0063690C">
        <w:rPr>
          <w:rFonts w:ascii="Times New Roman" w:hAnsi="Times New Roman" w:cs="Times New Roman"/>
          <w:sz w:val="24"/>
          <w:szCs w:val="24"/>
        </w:rPr>
        <w:t xml:space="preserve"> през 2016 г.</w:t>
      </w:r>
    </w:p>
    <w:p w:rsidR="00A43900" w:rsidRPr="0063690C" w:rsidRDefault="00A43900" w:rsidP="00A43900">
      <w:pPr>
        <w:spacing w:after="120" w:line="360" w:lineRule="auto"/>
        <w:ind w:firstLine="709"/>
        <w:jc w:val="center"/>
        <w:rPr>
          <w:rFonts w:ascii="Times New Roman" w:hAnsi="Times New Roman" w:cs="Times New Roman"/>
          <w:sz w:val="24"/>
          <w:szCs w:val="24"/>
        </w:rPr>
      </w:pPr>
      <w:r w:rsidRPr="0063690C">
        <w:rPr>
          <w:rFonts w:ascii="Times New Roman" w:hAnsi="Times New Roman" w:cs="Times New Roman"/>
          <w:noProof/>
          <w:sz w:val="24"/>
          <w:szCs w:val="24"/>
          <w:lang w:eastAsia="bg-BG"/>
        </w:rPr>
        <w:drawing>
          <wp:inline distT="0" distB="0" distL="0" distR="0" wp14:anchorId="32DB517E" wp14:editId="22D21429">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13" w:name="_Toc510702855"/>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9</w:t>
      </w:r>
      <w:r w:rsidRPr="00C17917">
        <w:rPr>
          <w:rFonts w:ascii="Times New Roman" w:hAnsi="Times New Roman" w:cs="Times New Roman"/>
          <w:b w:val="0"/>
          <w:i/>
          <w:color w:val="000000" w:themeColor="text1"/>
          <w:sz w:val="24"/>
          <w:szCs w:val="24"/>
        </w:rPr>
        <w:fldChar w:fldCharType="end"/>
      </w:r>
      <w:r w:rsidR="00A43900" w:rsidRPr="00C17917">
        <w:rPr>
          <w:rFonts w:ascii="Times New Roman" w:hAnsi="Times New Roman" w:cs="Times New Roman"/>
          <w:b w:val="0"/>
          <w:i/>
          <w:color w:val="000000" w:themeColor="text1"/>
          <w:sz w:val="24"/>
          <w:szCs w:val="24"/>
        </w:rPr>
        <w:t xml:space="preserve"> Дълготрайни материални активи с екологично предназначение; Източник: НСИ</w:t>
      </w:r>
      <w:bookmarkEnd w:id="13"/>
    </w:p>
    <w:p w:rsidR="00A43900" w:rsidRPr="0063690C" w:rsidRDefault="00A43900" w:rsidP="00A43900">
      <w:pPr>
        <w:spacing w:after="120" w:line="360" w:lineRule="auto"/>
        <w:ind w:firstLine="709"/>
        <w:jc w:val="both"/>
        <w:rPr>
          <w:rFonts w:ascii="Times New Roman" w:hAnsi="Times New Roman" w:cs="Times New Roman"/>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Динамика на изменението на социални и културни дейности и граждански институции</w:t>
      </w:r>
    </w:p>
    <w:p w:rsidR="00A43900" w:rsidRPr="000A2575" w:rsidRDefault="00A43900" w:rsidP="00A43900">
      <w:pPr>
        <w:spacing w:after="120" w:line="360" w:lineRule="auto"/>
        <w:ind w:firstLine="709"/>
        <w:jc w:val="both"/>
        <w:rPr>
          <w:rFonts w:ascii="Times New Roman" w:hAnsi="Times New Roman" w:cs="Times New Roman"/>
          <w:color w:val="365F91" w:themeColor="accent1" w:themeShade="BF"/>
          <w:sz w:val="24"/>
          <w:szCs w:val="24"/>
        </w:rPr>
      </w:pPr>
      <w:r w:rsidRPr="000A2575">
        <w:rPr>
          <w:rFonts w:ascii="Times New Roman" w:hAnsi="Times New Roman" w:cs="Times New Roman"/>
          <w:color w:val="365F91" w:themeColor="accent1" w:themeShade="BF"/>
          <w:sz w:val="24"/>
          <w:szCs w:val="24"/>
        </w:rPr>
        <w:t>Образование</w:t>
      </w:r>
    </w:p>
    <w:p w:rsidR="00A43900" w:rsidRPr="003E6EE9" w:rsidRDefault="00A43900" w:rsidP="00A43900">
      <w:pPr>
        <w:spacing w:after="120" w:line="360" w:lineRule="auto"/>
        <w:ind w:firstLine="709"/>
        <w:jc w:val="both"/>
        <w:rPr>
          <w:rFonts w:ascii="Times New Roman" w:hAnsi="Times New Roman" w:cs="Times New Roman"/>
          <w:sz w:val="24"/>
          <w:szCs w:val="24"/>
          <w:lang w:val="en-US"/>
        </w:rPr>
      </w:pPr>
      <w:r w:rsidRPr="0063690C">
        <w:rPr>
          <w:rFonts w:ascii="Times New Roman" w:hAnsi="Times New Roman" w:cs="Times New Roman"/>
          <w:sz w:val="24"/>
          <w:szCs w:val="24"/>
        </w:rPr>
        <w:t>Мрежата от начални, основни, общообразователни училища, професионални гимназии в област Ловеч е добре развита. За периода от 2014 до 2016 година обаче училищата са намалели. Закрити са 3 училища – 1 общообразователно и 2 специални училища. През 2016 г. на територията на област Ловеч функционират 46 общообразователни училища, 9 професионални гимназии, 1 специално училище и 1 училище по изкуствата.</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Броят на учащите в общообразователни и специални училища в област Ловеч намалява. През учебната 2016/2017 година техният брой е 12 011, което е с 334 души по-малко от учебната 2014/2015 година. Намалява и броят на учащите в професионалните училища –</w:t>
      </w:r>
      <w:r>
        <w:rPr>
          <w:rFonts w:ascii="Times New Roman" w:hAnsi="Times New Roman" w:cs="Times New Roman"/>
          <w:sz w:val="24"/>
          <w:szCs w:val="24"/>
          <w:lang w:val="en-US"/>
        </w:rPr>
        <w:t xml:space="preserve"> </w:t>
      </w:r>
      <w:r w:rsidRPr="0063690C">
        <w:rPr>
          <w:rFonts w:ascii="Times New Roman" w:hAnsi="Times New Roman" w:cs="Times New Roman"/>
          <w:sz w:val="24"/>
          <w:szCs w:val="24"/>
        </w:rPr>
        <w:t xml:space="preserve">с 61 души. Забелязва се увеличение на коефициента на записване в V–VIII клас в област Ловеч през последните години. През 2016 г. достига 82,5%. В същото време обаче делът на отпадналите от основното и средното образование в областта се повишава от 3,20% на 3,82% в края на периода.  </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lastRenderedPageBreak/>
        <w:t xml:space="preserve">Броят на преподавателите в основно и в средно образование леко намалява. През учебната 2016/2017 година е с 9 по-малко от учебната 2014/2015 година. Средният успех от матурите по български език и литература през учебната 2016/2017 година е 4,26. </w:t>
      </w:r>
    </w:p>
    <w:p w:rsidR="00641EC1" w:rsidRDefault="00641EC1" w:rsidP="00A43900">
      <w:pPr>
        <w:spacing w:after="120" w:line="360" w:lineRule="auto"/>
        <w:ind w:firstLine="709"/>
        <w:jc w:val="both"/>
        <w:rPr>
          <w:rFonts w:ascii="Times New Roman" w:hAnsi="Times New Roman" w:cs="Times New Roman"/>
          <w:sz w:val="24"/>
          <w:szCs w:val="24"/>
        </w:rPr>
      </w:pPr>
      <w:r w:rsidRPr="00C23970">
        <w:rPr>
          <w:rFonts w:ascii="Times New Roman" w:hAnsi="Times New Roman" w:cs="Times New Roman"/>
          <w:sz w:val="24"/>
          <w:szCs w:val="24"/>
        </w:rPr>
        <w:t xml:space="preserve">На територията на област Ловеч функционира едно висше училище – Технически колеж гр. Ловеч, който е основно звено  в  структурата на  ТУ - Габрово. През учебната 2016/2017 година в колежа се обучават 2015 студенти, а броят на завършилите студенти </w:t>
      </w:r>
      <w:r w:rsidR="002336EC" w:rsidRPr="00C23970">
        <w:rPr>
          <w:rFonts w:ascii="Times New Roman" w:hAnsi="Times New Roman" w:cs="Times New Roman"/>
          <w:sz w:val="24"/>
          <w:szCs w:val="24"/>
        </w:rPr>
        <w:t xml:space="preserve">в </w:t>
      </w:r>
      <w:r w:rsidRPr="00C23970">
        <w:rPr>
          <w:rFonts w:ascii="Times New Roman" w:hAnsi="Times New Roman" w:cs="Times New Roman"/>
          <w:sz w:val="24"/>
          <w:szCs w:val="24"/>
        </w:rPr>
        <w:t>степен професионален бакалавър е 50.</w:t>
      </w:r>
      <w:r>
        <w:rPr>
          <w:rFonts w:ascii="Times New Roman" w:hAnsi="Times New Roman" w:cs="Times New Roman"/>
          <w:sz w:val="24"/>
          <w:szCs w:val="24"/>
        </w:rPr>
        <w:t xml:space="preserve"> </w:t>
      </w:r>
    </w:p>
    <w:p w:rsidR="00A43900" w:rsidRPr="000A2575" w:rsidRDefault="00A43900" w:rsidP="00A43900">
      <w:pPr>
        <w:spacing w:after="120" w:line="360" w:lineRule="auto"/>
        <w:ind w:firstLine="709"/>
        <w:jc w:val="both"/>
        <w:rPr>
          <w:rFonts w:ascii="Times New Roman" w:hAnsi="Times New Roman" w:cs="Times New Roman"/>
          <w:color w:val="365F91" w:themeColor="accent1" w:themeShade="BF"/>
          <w:sz w:val="24"/>
          <w:szCs w:val="24"/>
        </w:rPr>
      </w:pPr>
      <w:r w:rsidRPr="000A2575">
        <w:rPr>
          <w:rFonts w:ascii="Times New Roman" w:hAnsi="Times New Roman" w:cs="Times New Roman"/>
          <w:color w:val="365F91" w:themeColor="accent1" w:themeShade="BF"/>
          <w:sz w:val="24"/>
          <w:szCs w:val="24"/>
        </w:rPr>
        <w:t>Здравеопазване</w:t>
      </w:r>
    </w:p>
    <w:p w:rsidR="00A43900" w:rsidRPr="00E450AB" w:rsidRDefault="00A43900" w:rsidP="00A43900">
      <w:pPr>
        <w:spacing w:after="120" w:line="360" w:lineRule="auto"/>
        <w:ind w:firstLine="709"/>
        <w:jc w:val="both"/>
        <w:rPr>
          <w:rFonts w:ascii="Times New Roman" w:hAnsi="Times New Roman" w:cs="Times New Roman"/>
          <w:sz w:val="24"/>
          <w:szCs w:val="24"/>
          <w:lang w:val="en-US"/>
        </w:rPr>
      </w:pPr>
      <w:r w:rsidRPr="0063690C">
        <w:rPr>
          <w:rFonts w:ascii="Times New Roman" w:hAnsi="Times New Roman" w:cs="Times New Roman"/>
          <w:sz w:val="24"/>
          <w:szCs w:val="24"/>
        </w:rPr>
        <w:t>Населението в област Ловеч е добре обезпечено с лекари. През 2016 г. на 1 лекар в област Ловеч се падат 248 пациенти. Броят на лекарите през 2016 г. е 522, като се забелязва намаление на медицинския персонал с 28 лекари за периода 2014-2016 г.</w:t>
      </w:r>
      <w:r w:rsidRPr="0063690C">
        <w:rPr>
          <w:rFonts w:ascii="Times New Roman" w:hAnsi="Times New Roman" w:cs="Times New Roman"/>
          <w:sz w:val="24"/>
          <w:szCs w:val="24"/>
          <w:lang w:val="en-US"/>
        </w:rPr>
        <w:t xml:space="preserve"> </w:t>
      </w:r>
      <w:r w:rsidRPr="0063690C">
        <w:rPr>
          <w:rFonts w:ascii="Times New Roman" w:hAnsi="Times New Roman" w:cs="Times New Roman"/>
          <w:sz w:val="24"/>
          <w:szCs w:val="24"/>
        </w:rPr>
        <w:t>През 2016 г. лекарите по дентална медицина наброяват 122, а медицинските специалисти – 784 като последните са с 36 по-малко в сравнение с 2014 г. Разпределението на медицинския персонал по общини е неравномерно. Техният брой е най-голям в община Ловеч (727), а най-малък – в община Априлци (11).</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Болничната помощ на територията на област Ловеч се осъществява от седем лечебни заведения с 1036 легла. Въпреки че броят на заведенията не се е променил през последните години, броят на леглата е намалял със 72 за периода 2014-2016 г. Четири от лечебните заведения за болнична помощ са многопрофилни болници за активно лечение (в общините Ловеч, Троян, Тетевен и Луковит), а 3 са специализирани болници (в общините Ловеч, Луковит и Троян).</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Лечебните заведения за извънболнична помощ през 2016 г. са 36 (29 самостоятелни медико-диагностични и медико-технически лаборатории и 7 медицински центрове) </w:t>
      </w:r>
      <w:r>
        <w:rPr>
          <w:rFonts w:ascii="Times New Roman" w:hAnsi="Times New Roman" w:cs="Times New Roman"/>
          <w:sz w:val="24"/>
          <w:szCs w:val="24"/>
        </w:rPr>
        <w:t>и са</w:t>
      </w:r>
      <w:r w:rsidRPr="0063690C">
        <w:rPr>
          <w:rFonts w:ascii="Times New Roman" w:hAnsi="Times New Roman" w:cs="Times New Roman"/>
          <w:sz w:val="24"/>
          <w:szCs w:val="24"/>
        </w:rPr>
        <w:t xml:space="preserve"> с 6 повече от 2014 г. Те също са разпределени неравномерно – 15 в община Ловеч, 10 в община Троян, 5 в община Луковит, 4 в община Тетевен и по 1 в общините Летница и Ябланица. Общините Априлци и Угърчин не разполагат със заведения за извънболнична помощ.</w:t>
      </w: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През 2016 г. в област Ловеч на 1000 души от населението се падат 4,4 легла в МБАЛ. За периода 2014-2016 г. се наблюдава лек ръст на здравноосигурените лица – с 1,6%, като техния дял в края на периода е 91,3%.</w:t>
      </w:r>
    </w:p>
    <w:p w:rsidR="00A43900" w:rsidRPr="000A2575" w:rsidRDefault="00A43900" w:rsidP="00A43900">
      <w:pPr>
        <w:spacing w:after="120" w:line="360" w:lineRule="auto"/>
        <w:ind w:firstLine="709"/>
        <w:jc w:val="both"/>
        <w:rPr>
          <w:rFonts w:ascii="Times New Roman" w:hAnsi="Times New Roman" w:cs="Times New Roman"/>
          <w:color w:val="365F91" w:themeColor="accent1" w:themeShade="BF"/>
          <w:sz w:val="24"/>
          <w:szCs w:val="24"/>
        </w:rPr>
      </w:pPr>
      <w:r w:rsidRPr="000A2575">
        <w:rPr>
          <w:rFonts w:ascii="Times New Roman" w:hAnsi="Times New Roman" w:cs="Times New Roman"/>
          <w:color w:val="365F91" w:themeColor="accent1" w:themeShade="BF"/>
          <w:sz w:val="24"/>
          <w:szCs w:val="24"/>
        </w:rPr>
        <w:t>Култура</w:t>
      </w:r>
    </w:p>
    <w:p w:rsidR="00A43900"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Културните дейности в област Ловеч се характеризират със сравнително нисък интензитет. Забелязва се спад на посещенията в театрите, музеите и </w:t>
      </w:r>
      <w:r w:rsidR="00800C89">
        <w:rPr>
          <w:rFonts w:ascii="Times New Roman" w:hAnsi="Times New Roman" w:cs="Times New Roman"/>
          <w:sz w:val="24"/>
          <w:szCs w:val="24"/>
        </w:rPr>
        <w:t>библиотеките</w:t>
      </w:r>
      <w:r w:rsidRPr="0063690C">
        <w:rPr>
          <w:rFonts w:ascii="Times New Roman" w:hAnsi="Times New Roman" w:cs="Times New Roman"/>
          <w:sz w:val="24"/>
          <w:szCs w:val="24"/>
        </w:rPr>
        <w:t>.</w:t>
      </w:r>
    </w:p>
    <w:p w:rsidR="00A43900" w:rsidRDefault="00A43900" w:rsidP="00A43900">
      <w:pPr>
        <w:spacing w:after="120" w:line="360" w:lineRule="auto"/>
        <w:ind w:firstLine="709"/>
        <w:jc w:val="center"/>
        <w:rPr>
          <w:rFonts w:ascii="Times New Roman" w:hAnsi="Times New Roman" w:cs="Times New Roman"/>
          <w:sz w:val="24"/>
          <w:szCs w:val="24"/>
        </w:rPr>
      </w:pPr>
      <w:r w:rsidRPr="0063690C">
        <w:rPr>
          <w:rFonts w:ascii="Times New Roman" w:hAnsi="Times New Roman" w:cs="Times New Roman"/>
          <w:noProof/>
          <w:sz w:val="24"/>
          <w:szCs w:val="24"/>
          <w:lang w:eastAsia="bg-BG"/>
        </w:rPr>
        <w:lastRenderedPageBreak/>
        <w:drawing>
          <wp:inline distT="0" distB="0" distL="0" distR="0" wp14:anchorId="54292C82" wp14:editId="4A9D68BE">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43900" w:rsidRPr="00C17917" w:rsidRDefault="00C17917" w:rsidP="00C17917">
      <w:pPr>
        <w:pStyle w:val="Caption"/>
        <w:jc w:val="center"/>
        <w:rPr>
          <w:rFonts w:ascii="Times New Roman" w:hAnsi="Times New Roman" w:cs="Times New Roman"/>
          <w:b w:val="0"/>
          <w:i/>
          <w:color w:val="000000" w:themeColor="text1"/>
          <w:sz w:val="24"/>
          <w:szCs w:val="24"/>
        </w:rPr>
      </w:pPr>
      <w:bookmarkStart w:id="14" w:name="_Toc510702856"/>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10</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A43900" w:rsidRPr="00C17917">
        <w:rPr>
          <w:rFonts w:ascii="Times New Roman" w:hAnsi="Times New Roman" w:cs="Times New Roman"/>
          <w:b w:val="0"/>
          <w:i/>
          <w:color w:val="000000" w:themeColor="text1"/>
          <w:sz w:val="24"/>
          <w:szCs w:val="24"/>
        </w:rPr>
        <w:t>Средногодишен брой посещения на 1000 души: Източник: НСИ</w:t>
      </w:r>
      <w:bookmarkEnd w:id="14"/>
    </w:p>
    <w:p w:rsidR="00A43900" w:rsidRPr="0063690C" w:rsidRDefault="00A43900" w:rsidP="00A43900">
      <w:pPr>
        <w:spacing w:after="120" w:line="360" w:lineRule="auto"/>
        <w:ind w:firstLine="709"/>
        <w:rPr>
          <w:rFonts w:ascii="Times New Roman" w:hAnsi="Times New Roman" w:cs="Times New Roman"/>
          <w:sz w:val="24"/>
          <w:szCs w:val="24"/>
        </w:rPr>
      </w:pPr>
    </w:p>
    <w:p w:rsidR="00A43900" w:rsidRPr="0063690C" w:rsidRDefault="00A43900" w:rsidP="00A43900">
      <w:pPr>
        <w:spacing w:after="120" w:line="360" w:lineRule="auto"/>
        <w:ind w:firstLine="709"/>
        <w:jc w:val="both"/>
        <w:rPr>
          <w:rFonts w:ascii="Times New Roman" w:hAnsi="Times New Roman" w:cs="Times New Roman"/>
          <w:sz w:val="24"/>
          <w:szCs w:val="24"/>
        </w:rPr>
      </w:pPr>
      <w:r w:rsidRPr="0063690C">
        <w:rPr>
          <w:rFonts w:ascii="Times New Roman" w:hAnsi="Times New Roman" w:cs="Times New Roman"/>
          <w:sz w:val="24"/>
          <w:szCs w:val="24"/>
        </w:rPr>
        <w:t xml:space="preserve">За периода 2014-2016 г. се забелязва спад на интереса към местните музеи, което води и до намаляване на персонала в музеите </w:t>
      </w:r>
      <w:r w:rsidR="000A2575">
        <w:rPr>
          <w:rFonts w:ascii="Times New Roman" w:hAnsi="Times New Roman" w:cs="Times New Roman"/>
          <w:sz w:val="24"/>
          <w:szCs w:val="24"/>
        </w:rPr>
        <w:t>–</w:t>
      </w:r>
      <w:r w:rsidRPr="0063690C">
        <w:rPr>
          <w:rFonts w:ascii="Times New Roman" w:hAnsi="Times New Roman" w:cs="Times New Roman"/>
          <w:sz w:val="24"/>
          <w:szCs w:val="24"/>
        </w:rPr>
        <w:t xml:space="preserve"> от</w:t>
      </w:r>
      <w:r w:rsidR="000A2575">
        <w:rPr>
          <w:rFonts w:ascii="Times New Roman" w:hAnsi="Times New Roman" w:cs="Times New Roman"/>
          <w:sz w:val="24"/>
          <w:szCs w:val="24"/>
        </w:rPr>
        <w:t xml:space="preserve"> </w:t>
      </w:r>
      <w:r w:rsidRPr="0063690C">
        <w:rPr>
          <w:rFonts w:ascii="Times New Roman" w:hAnsi="Times New Roman" w:cs="Times New Roman"/>
          <w:sz w:val="24"/>
          <w:szCs w:val="24"/>
        </w:rPr>
        <w:t>62 на 50 души.</w:t>
      </w:r>
      <w:r>
        <w:rPr>
          <w:rFonts w:ascii="Times New Roman" w:hAnsi="Times New Roman" w:cs="Times New Roman"/>
          <w:sz w:val="24"/>
          <w:szCs w:val="24"/>
        </w:rPr>
        <w:t xml:space="preserve"> Общият брой на музеите в областта през 2016 е 5, което е с един по-малко от предходната година.</w:t>
      </w:r>
      <w:r w:rsidRPr="0063690C">
        <w:rPr>
          <w:rFonts w:ascii="Times New Roman" w:hAnsi="Times New Roman" w:cs="Times New Roman"/>
          <w:sz w:val="24"/>
          <w:szCs w:val="24"/>
          <w:lang w:val="en-US"/>
        </w:rPr>
        <w:t xml:space="preserve"> </w:t>
      </w:r>
    </w:p>
    <w:p w:rsidR="00A43900" w:rsidRPr="0063690C" w:rsidRDefault="00A43900" w:rsidP="00A43900">
      <w:pPr>
        <w:spacing w:after="120" w:line="360" w:lineRule="auto"/>
        <w:ind w:firstLine="709"/>
        <w:jc w:val="both"/>
        <w:rPr>
          <w:rFonts w:ascii="Times New Roman" w:hAnsi="Times New Roman" w:cs="Times New Roman"/>
          <w:sz w:val="24"/>
          <w:szCs w:val="24"/>
        </w:rPr>
      </w:pPr>
    </w:p>
    <w:p w:rsidR="00A43900"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t>измерими резултати от реализирани проекти за подобряване на техническ</w:t>
      </w:r>
      <w:r w:rsidR="00D07767">
        <w:rPr>
          <w:rFonts w:ascii="Times New Roman" w:eastAsia="Calibri" w:hAnsi="Times New Roman" w:cs="Times New Roman"/>
          <w:b/>
          <w:i/>
          <w:color w:val="365F91" w:themeColor="accent1" w:themeShade="BF"/>
          <w:sz w:val="24"/>
          <w:szCs w:val="24"/>
        </w:rPr>
        <w:t>ата и екологична инфраструктура</w:t>
      </w:r>
    </w:p>
    <w:p w:rsidR="00A7632C" w:rsidRDefault="00A7632C" w:rsidP="00A7632C">
      <w:pPr>
        <w:pStyle w:val="ListParagraph"/>
        <w:spacing w:after="120" w:line="240" w:lineRule="auto"/>
        <w:ind w:left="1423"/>
        <w:contextualSpacing w:val="0"/>
        <w:jc w:val="both"/>
        <w:rPr>
          <w:rFonts w:ascii="Times New Roman" w:eastAsia="Calibri" w:hAnsi="Times New Roman" w:cs="Times New Roman"/>
          <w:b/>
          <w:i/>
          <w:color w:val="365F91" w:themeColor="accent1" w:themeShade="BF"/>
          <w:sz w:val="24"/>
          <w:szCs w:val="24"/>
        </w:rPr>
      </w:pPr>
    </w:p>
    <w:p w:rsidR="00E81945" w:rsidRDefault="00E81945" w:rsidP="00E0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Въз основа на събраните и прегледани данни за подобряване на </w:t>
      </w:r>
      <w:r w:rsidRPr="00E81945">
        <w:rPr>
          <w:rFonts w:ascii="Times New Roman" w:hAnsi="Times New Roman" w:cs="Times New Roman"/>
          <w:sz w:val="24"/>
          <w:szCs w:val="24"/>
        </w:rPr>
        <w:t>техническата и екологична инфраструктура</w:t>
      </w:r>
      <w:r>
        <w:rPr>
          <w:rFonts w:ascii="Times New Roman" w:hAnsi="Times New Roman" w:cs="Times New Roman"/>
          <w:sz w:val="24"/>
          <w:szCs w:val="24"/>
        </w:rPr>
        <w:t xml:space="preserve"> в област Ловеч, може да се направи извод, че:</w:t>
      </w:r>
    </w:p>
    <w:p w:rsidR="0070789E" w:rsidRPr="00D07767" w:rsidRDefault="0005491C" w:rsidP="00E01EA6">
      <w:pPr>
        <w:spacing w:after="0" w:line="360" w:lineRule="auto"/>
        <w:ind w:firstLine="709"/>
        <w:jc w:val="both"/>
        <w:rPr>
          <w:rFonts w:ascii="Times New Roman" w:hAnsi="Times New Roman" w:cs="Times New Roman"/>
          <w:sz w:val="24"/>
          <w:szCs w:val="24"/>
        </w:rPr>
      </w:pPr>
      <w:r w:rsidRPr="00D07767">
        <w:rPr>
          <w:rFonts w:ascii="Times New Roman" w:hAnsi="Times New Roman" w:cs="Times New Roman"/>
          <w:sz w:val="24"/>
          <w:szCs w:val="24"/>
        </w:rPr>
        <w:t>Реконструирани са части от ВиК мрежа</w:t>
      </w:r>
      <w:r w:rsidR="00534D1D">
        <w:rPr>
          <w:rFonts w:ascii="Times New Roman" w:hAnsi="Times New Roman" w:cs="Times New Roman"/>
          <w:sz w:val="24"/>
          <w:szCs w:val="24"/>
        </w:rPr>
        <w:t>та</w:t>
      </w:r>
      <w:r w:rsidRPr="00D07767">
        <w:rPr>
          <w:rFonts w:ascii="Times New Roman" w:hAnsi="Times New Roman" w:cs="Times New Roman"/>
          <w:sz w:val="24"/>
          <w:szCs w:val="24"/>
        </w:rPr>
        <w:t xml:space="preserve"> във всички 8 общини от област Ловеч</w:t>
      </w:r>
      <w:r>
        <w:rPr>
          <w:rFonts w:ascii="Times New Roman" w:hAnsi="Times New Roman" w:cs="Times New Roman"/>
          <w:sz w:val="24"/>
          <w:szCs w:val="24"/>
        </w:rPr>
        <w:t>.</w:t>
      </w:r>
      <w:r w:rsidRPr="0063690C">
        <w:rPr>
          <w:rFonts w:ascii="Times New Roman" w:hAnsi="Times New Roman" w:cs="Times New Roman"/>
          <w:sz w:val="24"/>
          <w:szCs w:val="24"/>
        </w:rPr>
        <w:t xml:space="preserve"> </w:t>
      </w:r>
      <w:r w:rsidR="0070789E" w:rsidRPr="0063690C">
        <w:rPr>
          <w:rFonts w:ascii="Times New Roman" w:hAnsi="Times New Roman" w:cs="Times New Roman"/>
          <w:sz w:val="24"/>
          <w:szCs w:val="24"/>
        </w:rPr>
        <w:t>Делът на населението с достъп до канализацията, свързано с пречиствателни с</w:t>
      </w:r>
      <w:r w:rsidR="00E51092">
        <w:rPr>
          <w:rFonts w:ascii="Times New Roman" w:hAnsi="Times New Roman" w:cs="Times New Roman"/>
          <w:sz w:val="24"/>
          <w:szCs w:val="24"/>
        </w:rPr>
        <w:t>танции за отпадъчни води е 56,6</w:t>
      </w:r>
      <w:r w:rsidR="0070789E" w:rsidRPr="0063690C">
        <w:rPr>
          <w:rFonts w:ascii="Times New Roman" w:hAnsi="Times New Roman" w:cs="Times New Roman"/>
          <w:sz w:val="24"/>
          <w:szCs w:val="24"/>
        </w:rPr>
        <w:t>% през 2015 година, което е с 15,4% повече от предходната. Увеличава се и делът на населението в селища с</w:t>
      </w:r>
      <w:r w:rsidR="0070789E">
        <w:rPr>
          <w:rFonts w:ascii="Times New Roman" w:hAnsi="Times New Roman" w:cs="Times New Roman"/>
          <w:sz w:val="24"/>
          <w:szCs w:val="24"/>
        </w:rPr>
        <w:t xml:space="preserve"> обществена канализация – с 4,7</w:t>
      </w:r>
      <w:r w:rsidR="0070789E" w:rsidRPr="0063690C">
        <w:rPr>
          <w:rFonts w:ascii="Times New Roman" w:hAnsi="Times New Roman" w:cs="Times New Roman"/>
          <w:sz w:val="24"/>
          <w:szCs w:val="24"/>
        </w:rPr>
        <w:t>%. През 2015 г. неговият дял възлиза на 68,8%.</w:t>
      </w:r>
      <w:r w:rsidR="00D07767">
        <w:rPr>
          <w:rFonts w:ascii="Times New Roman" w:hAnsi="Times New Roman" w:cs="Times New Roman"/>
          <w:sz w:val="24"/>
          <w:szCs w:val="24"/>
        </w:rPr>
        <w:t xml:space="preserve"> </w:t>
      </w:r>
      <w:r w:rsidR="00D07767" w:rsidRPr="00D07767">
        <w:rPr>
          <w:rFonts w:ascii="Times New Roman" w:hAnsi="Times New Roman" w:cs="Times New Roman"/>
          <w:sz w:val="24"/>
          <w:szCs w:val="24"/>
        </w:rPr>
        <w:t>Реконструирани са над 14,5 км. от вътрешната водопроводна мрежа в областта</w:t>
      </w:r>
      <w:r>
        <w:rPr>
          <w:rFonts w:ascii="Times New Roman" w:hAnsi="Times New Roman" w:cs="Times New Roman"/>
          <w:sz w:val="24"/>
          <w:szCs w:val="24"/>
        </w:rPr>
        <w:t>.</w:t>
      </w:r>
    </w:p>
    <w:p w:rsidR="000C2053" w:rsidRDefault="0005491C" w:rsidP="00E01EA6">
      <w:pPr>
        <w:spacing w:after="0" w:line="360" w:lineRule="auto"/>
        <w:ind w:firstLine="709"/>
        <w:jc w:val="both"/>
        <w:rPr>
          <w:rFonts w:ascii="Times New Roman" w:hAnsi="Times New Roman" w:cs="Times New Roman"/>
          <w:sz w:val="24"/>
          <w:szCs w:val="24"/>
        </w:rPr>
      </w:pPr>
      <w:r w:rsidRPr="0005491C">
        <w:rPr>
          <w:rFonts w:ascii="Times New Roman" w:hAnsi="Times New Roman" w:cs="Times New Roman"/>
          <w:sz w:val="24"/>
          <w:szCs w:val="24"/>
        </w:rPr>
        <w:t>Дейности по подобряване на общинската пътна мрежа са извършени във всички 8 общини от област Ловеч. Реконструирани и ремонтирани са над 6 км от общинските пътища</w:t>
      </w:r>
      <w:r>
        <w:rPr>
          <w:rFonts w:ascii="Times New Roman" w:hAnsi="Times New Roman" w:cs="Times New Roman"/>
          <w:sz w:val="24"/>
          <w:szCs w:val="24"/>
        </w:rPr>
        <w:t>.</w:t>
      </w:r>
    </w:p>
    <w:p w:rsidR="001D66B0" w:rsidRDefault="00534D1D" w:rsidP="00534D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Разходи за опазване на околната среда, реализирани от общините в област Ловеч </w:t>
      </w:r>
      <w:r w:rsidR="001D66B0">
        <w:rPr>
          <w:rFonts w:ascii="Times New Roman" w:hAnsi="Times New Roman" w:cs="Times New Roman"/>
          <w:sz w:val="24"/>
          <w:szCs w:val="24"/>
        </w:rPr>
        <w:t>–</w:t>
      </w:r>
      <w:r>
        <w:rPr>
          <w:rFonts w:ascii="Times New Roman" w:hAnsi="Times New Roman" w:cs="Times New Roman"/>
          <w:sz w:val="24"/>
          <w:szCs w:val="24"/>
        </w:rPr>
        <w:t xml:space="preserve"> </w:t>
      </w:r>
      <w:r w:rsidR="001D66B0">
        <w:rPr>
          <w:rFonts w:ascii="Times New Roman" w:hAnsi="Times New Roman" w:cs="Times New Roman"/>
          <w:sz w:val="24"/>
          <w:szCs w:val="24"/>
        </w:rPr>
        <w:t>на</w:t>
      </w:r>
      <w:r w:rsidR="00E5406C">
        <w:rPr>
          <w:rFonts w:ascii="Times New Roman" w:hAnsi="Times New Roman" w:cs="Times New Roman"/>
          <w:sz w:val="24"/>
          <w:szCs w:val="24"/>
        </w:rPr>
        <w:t>д</w:t>
      </w:r>
      <w:r w:rsidR="001D66B0">
        <w:rPr>
          <w:rFonts w:ascii="Times New Roman" w:hAnsi="Times New Roman" w:cs="Times New Roman"/>
          <w:sz w:val="24"/>
          <w:szCs w:val="24"/>
        </w:rPr>
        <w:t xml:space="preserve"> 5,800 хил. лв.</w:t>
      </w:r>
    </w:p>
    <w:p w:rsidR="000C2053" w:rsidRDefault="000C2053" w:rsidP="00A7632C">
      <w:pPr>
        <w:pStyle w:val="ListParagraph"/>
        <w:spacing w:after="120" w:line="240" w:lineRule="auto"/>
        <w:ind w:left="1423"/>
        <w:contextualSpacing w:val="0"/>
        <w:jc w:val="both"/>
        <w:rPr>
          <w:rFonts w:ascii="Times New Roman" w:eastAsia="Calibri" w:hAnsi="Times New Roman" w:cs="Times New Roman"/>
          <w:b/>
          <w:i/>
          <w:color w:val="365F91" w:themeColor="accent1" w:themeShade="BF"/>
          <w:sz w:val="24"/>
          <w:szCs w:val="24"/>
          <w:lang w:val="en-US"/>
        </w:rPr>
      </w:pPr>
    </w:p>
    <w:p w:rsidR="00AB2774" w:rsidRDefault="00AB2774" w:rsidP="00A7632C">
      <w:pPr>
        <w:pStyle w:val="ListParagraph"/>
        <w:spacing w:after="120" w:line="240" w:lineRule="auto"/>
        <w:ind w:left="1423"/>
        <w:contextualSpacing w:val="0"/>
        <w:jc w:val="both"/>
        <w:rPr>
          <w:rFonts w:ascii="Times New Roman" w:eastAsia="Calibri" w:hAnsi="Times New Roman" w:cs="Times New Roman"/>
          <w:b/>
          <w:i/>
          <w:color w:val="365F91" w:themeColor="accent1" w:themeShade="BF"/>
          <w:sz w:val="24"/>
          <w:szCs w:val="24"/>
        </w:rPr>
      </w:pPr>
    </w:p>
    <w:p w:rsidR="00800C89" w:rsidRPr="00800C89" w:rsidRDefault="00800C89" w:rsidP="00A7632C">
      <w:pPr>
        <w:pStyle w:val="ListParagraph"/>
        <w:spacing w:after="120" w:line="240" w:lineRule="auto"/>
        <w:ind w:left="1423"/>
        <w:contextualSpacing w:val="0"/>
        <w:jc w:val="both"/>
        <w:rPr>
          <w:rFonts w:ascii="Times New Roman" w:eastAsia="Calibri" w:hAnsi="Times New Roman" w:cs="Times New Roman"/>
          <w:b/>
          <w:i/>
          <w:color w:val="365F91" w:themeColor="accent1" w:themeShade="BF"/>
          <w:sz w:val="24"/>
          <w:szCs w:val="24"/>
        </w:rPr>
      </w:pPr>
    </w:p>
    <w:p w:rsidR="00A43900" w:rsidRPr="00ED6D89" w:rsidRDefault="00A43900" w:rsidP="00864A98">
      <w:pPr>
        <w:pStyle w:val="ListParagraph"/>
        <w:numPr>
          <w:ilvl w:val="0"/>
          <w:numId w:val="22"/>
        </w:numPr>
        <w:spacing w:after="120" w:line="240" w:lineRule="auto"/>
        <w:ind w:left="1423" w:hanging="357"/>
        <w:contextualSpacing w:val="0"/>
        <w:jc w:val="both"/>
        <w:rPr>
          <w:rFonts w:ascii="Times New Roman" w:eastAsia="Calibri" w:hAnsi="Times New Roman" w:cs="Times New Roman"/>
          <w:b/>
          <w:i/>
          <w:color w:val="365F91" w:themeColor="accent1" w:themeShade="BF"/>
          <w:sz w:val="24"/>
          <w:szCs w:val="24"/>
        </w:rPr>
      </w:pPr>
      <w:r w:rsidRPr="00ED6D89">
        <w:rPr>
          <w:rFonts w:ascii="Times New Roman" w:eastAsia="Calibri" w:hAnsi="Times New Roman" w:cs="Times New Roman"/>
          <w:b/>
          <w:i/>
          <w:color w:val="365F91" w:themeColor="accent1" w:themeShade="BF"/>
          <w:sz w:val="24"/>
          <w:szCs w:val="24"/>
        </w:rPr>
        <w:lastRenderedPageBreak/>
        <w:t>измерими резултати от реализирани проекти за подобряв</w:t>
      </w:r>
      <w:r w:rsidR="00D07767">
        <w:rPr>
          <w:rFonts w:ascii="Times New Roman" w:eastAsia="Calibri" w:hAnsi="Times New Roman" w:cs="Times New Roman"/>
          <w:b/>
          <w:i/>
          <w:color w:val="365F91" w:themeColor="accent1" w:themeShade="BF"/>
          <w:sz w:val="24"/>
          <w:szCs w:val="24"/>
        </w:rPr>
        <w:t>ане на енергийната ефективност</w:t>
      </w:r>
    </w:p>
    <w:p w:rsidR="006A4C22" w:rsidRDefault="006A4C22" w:rsidP="00E01EA6">
      <w:pPr>
        <w:spacing w:after="0" w:line="360" w:lineRule="auto"/>
        <w:ind w:firstLine="709"/>
        <w:jc w:val="both"/>
        <w:rPr>
          <w:rFonts w:ascii="Times New Roman" w:hAnsi="Times New Roman" w:cs="Times New Roman"/>
          <w:sz w:val="24"/>
          <w:szCs w:val="24"/>
        </w:rPr>
      </w:pPr>
    </w:p>
    <w:p w:rsidR="00E01EA6" w:rsidRDefault="00E01EA6" w:rsidP="00E0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област Ловеч е разработен Областен план </w:t>
      </w:r>
      <w:r w:rsidRPr="003205BC">
        <w:rPr>
          <w:rFonts w:ascii="Times New Roman" w:hAnsi="Times New Roman" w:cs="Times New Roman"/>
          <w:sz w:val="24"/>
          <w:szCs w:val="24"/>
        </w:rPr>
        <w:t>за енергийна ефективност за периода 2014-2020г.</w:t>
      </w:r>
      <w:r>
        <w:rPr>
          <w:rFonts w:ascii="Times New Roman" w:hAnsi="Times New Roman" w:cs="Times New Roman"/>
          <w:sz w:val="24"/>
          <w:szCs w:val="24"/>
        </w:rPr>
        <w:t xml:space="preserve"> </w:t>
      </w:r>
      <w:r w:rsidRPr="003205BC">
        <w:rPr>
          <w:rFonts w:ascii="Times New Roman" w:hAnsi="Times New Roman" w:cs="Times New Roman"/>
          <w:sz w:val="24"/>
          <w:szCs w:val="24"/>
        </w:rPr>
        <w:t>на основание чл.11, ал.1 от Закона за енергийна ефективност и в съответствие с Националната стра</w:t>
      </w:r>
      <w:r>
        <w:rPr>
          <w:rFonts w:ascii="Times New Roman" w:hAnsi="Times New Roman" w:cs="Times New Roman"/>
          <w:sz w:val="24"/>
          <w:szCs w:val="24"/>
        </w:rPr>
        <w:t>тегия за енергийна ефективност. Основната цел е</w:t>
      </w:r>
      <w:r w:rsidRPr="005C0585">
        <w:rPr>
          <w:rFonts w:ascii="Times New Roman" w:hAnsi="Times New Roman" w:cs="Times New Roman"/>
          <w:sz w:val="24"/>
          <w:szCs w:val="24"/>
        </w:rPr>
        <w:t xml:space="preserve"> намаляване на разхода на енергия с 20% през 2020 г.</w:t>
      </w:r>
    </w:p>
    <w:p w:rsidR="00E01EA6" w:rsidRDefault="00E01EA6" w:rsidP="00E0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Реализирани са проекти за п</w:t>
      </w:r>
      <w:r w:rsidRPr="007F20EE">
        <w:rPr>
          <w:rFonts w:ascii="Times New Roman" w:hAnsi="Times New Roman" w:cs="Times New Roman"/>
          <w:sz w:val="24"/>
          <w:szCs w:val="24"/>
        </w:rPr>
        <w:t xml:space="preserve">одобряване на енергийната ефективност в публичния сграден фонд, бизнеса и домакинствата </w:t>
      </w:r>
      <w:r>
        <w:rPr>
          <w:rFonts w:ascii="Times New Roman" w:hAnsi="Times New Roman" w:cs="Times New Roman"/>
          <w:sz w:val="24"/>
          <w:szCs w:val="24"/>
        </w:rPr>
        <w:t>и проекти за п</w:t>
      </w:r>
      <w:r w:rsidRPr="00027673">
        <w:rPr>
          <w:rFonts w:ascii="Times New Roman" w:hAnsi="Times New Roman" w:cs="Times New Roman"/>
          <w:sz w:val="24"/>
          <w:szCs w:val="24"/>
        </w:rPr>
        <w:t>одобряване на енергийната ефективност на публичния и общинския сграден фонд</w:t>
      </w:r>
      <w:r>
        <w:rPr>
          <w:rFonts w:ascii="Times New Roman" w:hAnsi="Times New Roman" w:cs="Times New Roman"/>
          <w:sz w:val="24"/>
          <w:szCs w:val="24"/>
        </w:rPr>
        <w:t>.</w:t>
      </w:r>
      <w:r w:rsidRPr="00027673">
        <w:rPr>
          <w:rFonts w:ascii="Times New Roman" w:hAnsi="Times New Roman" w:cs="Times New Roman"/>
          <w:sz w:val="24"/>
          <w:szCs w:val="24"/>
        </w:rPr>
        <w:t xml:space="preserve"> </w:t>
      </w:r>
    </w:p>
    <w:p w:rsidR="00E01EA6" w:rsidRPr="00027673" w:rsidRDefault="00E01EA6" w:rsidP="00E0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Изготвени са Годишни отчети </w:t>
      </w:r>
      <w:r w:rsidR="00425285">
        <w:rPr>
          <w:rFonts w:ascii="Times New Roman" w:hAnsi="Times New Roman" w:cs="Times New Roman"/>
          <w:sz w:val="24"/>
          <w:szCs w:val="24"/>
        </w:rPr>
        <w:t>з</w:t>
      </w:r>
      <w:r w:rsidRPr="005C0585">
        <w:rPr>
          <w:rFonts w:ascii="Times New Roman" w:hAnsi="Times New Roman" w:cs="Times New Roman"/>
          <w:sz w:val="24"/>
          <w:szCs w:val="24"/>
        </w:rPr>
        <w:t>а изпълнението на програмите по чл. 12 от ЗЕЕ и</w:t>
      </w:r>
      <w:r>
        <w:rPr>
          <w:rFonts w:ascii="Times New Roman" w:hAnsi="Times New Roman" w:cs="Times New Roman"/>
          <w:sz w:val="24"/>
          <w:szCs w:val="24"/>
        </w:rPr>
        <w:t xml:space="preserve"> </w:t>
      </w:r>
      <w:r w:rsidRPr="005C0585">
        <w:rPr>
          <w:rFonts w:ascii="Times New Roman" w:hAnsi="Times New Roman" w:cs="Times New Roman"/>
          <w:sz w:val="24"/>
          <w:szCs w:val="24"/>
        </w:rPr>
        <w:t>за управлението на енергийната ефективност в сгради и предприятия, промишлени системи и системи за външно изкуствено осветление по чл. 63 от ЗЕЕ</w:t>
      </w:r>
      <w:r>
        <w:rPr>
          <w:rFonts w:ascii="Times New Roman" w:hAnsi="Times New Roman" w:cs="Times New Roman"/>
          <w:sz w:val="24"/>
          <w:szCs w:val="24"/>
        </w:rPr>
        <w:t xml:space="preserve">. Постигнатият ефект е спестяване на горива, енергия и емисии. Към края на 2016 г. е отчетено спестяване на природен газ в размер на 5.1 хил. </w:t>
      </w:r>
      <w:r w:rsidRPr="00E01EA6">
        <w:rPr>
          <w:rFonts w:ascii="Times New Roman" w:hAnsi="Times New Roman" w:cs="Times New Roman"/>
          <w:sz w:val="24"/>
          <w:szCs w:val="24"/>
        </w:rPr>
        <w:t>nm3/</w:t>
      </w:r>
      <w:r>
        <w:rPr>
          <w:rFonts w:ascii="Times New Roman" w:hAnsi="Times New Roman" w:cs="Times New Roman"/>
          <w:sz w:val="24"/>
          <w:szCs w:val="24"/>
        </w:rPr>
        <w:t xml:space="preserve">год. Спестената електроенергия възлиза на 109.1 </w:t>
      </w:r>
      <w:r w:rsidRPr="00E01EA6">
        <w:rPr>
          <w:rFonts w:ascii="Times New Roman" w:hAnsi="Times New Roman" w:cs="Times New Roman"/>
          <w:sz w:val="24"/>
          <w:szCs w:val="24"/>
        </w:rPr>
        <w:t>MWh/</w:t>
      </w:r>
      <w:r>
        <w:rPr>
          <w:rFonts w:ascii="Times New Roman" w:hAnsi="Times New Roman" w:cs="Times New Roman"/>
          <w:sz w:val="24"/>
          <w:szCs w:val="24"/>
        </w:rPr>
        <w:t>год., а спестените въглеродни емисии в областта са 11.7 тона/год.</w:t>
      </w:r>
    </w:p>
    <w:p w:rsidR="00E01EA6" w:rsidRDefault="00E01EA6" w:rsidP="00A43900"/>
    <w:p w:rsidR="00AA1225" w:rsidRPr="00851EDA" w:rsidRDefault="00AA1225" w:rsidP="00851EDA">
      <w:pPr>
        <w:spacing w:after="0" w:line="360" w:lineRule="auto"/>
        <w:ind w:firstLine="708"/>
        <w:jc w:val="both"/>
        <w:rPr>
          <w:rFonts w:ascii="Times New Roman" w:eastAsia="Calibri" w:hAnsi="Times New Roman" w:cs="Times New Roman"/>
          <w:b/>
          <w:i/>
          <w:color w:val="365F91" w:themeColor="accent1" w:themeShade="BF"/>
          <w:sz w:val="24"/>
          <w:szCs w:val="24"/>
        </w:rPr>
      </w:pPr>
      <w:r w:rsidRPr="00851EDA">
        <w:rPr>
          <w:rFonts w:ascii="Times New Roman" w:eastAsia="Calibri" w:hAnsi="Times New Roman" w:cs="Times New Roman"/>
          <w:b/>
          <w:i/>
          <w:color w:val="365F91" w:themeColor="accent1" w:themeShade="BF"/>
          <w:sz w:val="24"/>
          <w:szCs w:val="24"/>
        </w:rPr>
        <w:t xml:space="preserve">Изводи </w:t>
      </w:r>
    </w:p>
    <w:p w:rsidR="00567DB5" w:rsidRDefault="005C226B" w:rsidP="00567DB5">
      <w:pPr>
        <w:spacing w:after="0" w:line="360" w:lineRule="auto"/>
        <w:ind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Въз основа на </w:t>
      </w:r>
      <w:r w:rsidR="006F73F2">
        <w:rPr>
          <w:rFonts w:ascii="Times New Roman" w:eastAsia="Times New Roman" w:hAnsi="Times New Roman" w:cs="Times New Roman"/>
          <w:sz w:val="24"/>
          <w:szCs w:val="24"/>
          <w:lang w:eastAsia="bg-BG"/>
        </w:rPr>
        <w:t>анализ</w:t>
      </w:r>
      <w:r w:rsidR="00481C40">
        <w:rPr>
          <w:rFonts w:ascii="Times New Roman" w:eastAsia="Times New Roman" w:hAnsi="Times New Roman" w:cs="Times New Roman"/>
          <w:sz w:val="24"/>
          <w:szCs w:val="24"/>
          <w:lang w:eastAsia="bg-BG"/>
        </w:rPr>
        <w:t>а</w:t>
      </w:r>
      <w:r w:rsidR="006F73F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тенденциите в социално-икономическото развитие на област Ловеч</w:t>
      </w:r>
      <w:r w:rsidR="00E2216B">
        <w:rPr>
          <w:rFonts w:ascii="Times New Roman" w:eastAsia="Times New Roman" w:hAnsi="Times New Roman" w:cs="Times New Roman"/>
          <w:sz w:val="24"/>
          <w:szCs w:val="24"/>
          <w:lang w:eastAsia="bg-BG"/>
        </w:rPr>
        <w:t xml:space="preserve"> за периода 2014-2016 г.</w:t>
      </w:r>
      <w:r>
        <w:rPr>
          <w:rFonts w:ascii="Times New Roman" w:eastAsia="Times New Roman" w:hAnsi="Times New Roman" w:cs="Times New Roman"/>
          <w:sz w:val="24"/>
          <w:szCs w:val="24"/>
          <w:lang w:eastAsia="bg-BG"/>
        </w:rPr>
        <w:t>, екипът на „Географика“ ООД направи следните изводи</w:t>
      </w:r>
      <w:r w:rsidR="006F73F2">
        <w:rPr>
          <w:rFonts w:ascii="Times New Roman" w:eastAsia="Times New Roman" w:hAnsi="Times New Roman" w:cs="Times New Roman"/>
          <w:sz w:val="24"/>
          <w:szCs w:val="24"/>
          <w:lang w:eastAsia="bg-BG"/>
        </w:rPr>
        <w:t xml:space="preserve"> относно </w:t>
      </w:r>
      <w:r w:rsidR="006F73F2" w:rsidRPr="006F73F2">
        <w:rPr>
          <w:rFonts w:ascii="Times New Roman" w:eastAsia="Times New Roman" w:hAnsi="Times New Roman" w:cs="Times New Roman"/>
          <w:sz w:val="24"/>
          <w:szCs w:val="24"/>
          <w:lang w:eastAsia="bg-BG"/>
        </w:rPr>
        <w:t>първоначалните резултати от изпълнението на ОСР</w:t>
      </w:r>
      <w:r w:rsidR="006F73F2">
        <w:rPr>
          <w:rFonts w:ascii="Times New Roman" w:eastAsia="Times New Roman" w:hAnsi="Times New Roman" w:cs="Times New Roman"/>
          <w:sz w:val="24"/>
          <w:szCs w:val="24"/>
          <w:lang w:eastAsia="bg-BG"/>
        </w:rPr>
        <w:t>:</w:t>
      </w:r>
    </w:p>
    <w:p w:rsidR="00567DB5" w:rsidRPr="006A32E0" w:rsidRDefault="00180307" w:rsidP="006F73F2">
      <w:pPr>
        <w:spacing w:after="0" w:line="360" w:lineRule="auto"/>
        <w:ind w:firstLine="680"/>
        <w:jc w:val="both"/>
        <w:rPr>
          <w:rFonts w:ascii="Times New Roman" w:eastAsia="Times New Roman" w:hAnsi="Times New Roman" w:cs="Times New Roman"/>
          <w:sz w:val="24"/>
          <w:szCs w:val="24"/>
          <w:lang w:eastAsia="bg-BG"/>
        </w:rPr>
      </w:pPr>
      <w:r w:rsidRPr="006A32E0">
        <w:rPr>
          <w:rFonts w:ascii="Times New Roman" w:eastAsia="Times New Roman" w:hAnsi="Times New Roman" w:cs="Times New Roman"/>
          <w:sz w:val="24"/>
          <w:szCs w:val="24"/>
          <w:lang w:eastAsia="bg-BG"/>
        </w:rPr>
        <w:t>При следните критерии и и</w:t>
      </w:r>
      <w:r w:rsidR="00567DB5" w:rsidRPr="006A32E0">
        <w:rPr>
          <w:rFonts w:ascii="Times New Roman" w:eastAsia="Times New Roman" w:hAnsi="Times New Roman" w:cs="Times New Roman"/>
          <w:sz w:val="24"/>
          <w:szCs w:val="24"/>
          <w:lang w:eastAsia="bg-BG"/>
        </w:rPr>
        <w:t>ндикатори с</w:t>
      </w:r>
      <w:r w:rsidRPr="006A32E0">
        <w:rPr>
          <w:rFonts w:ascii="Times New Roman" w:eastAsia="Times New Roman" w:hAnsi="Times New Roman" w:cs="Times New Roman"/>
          <w:sz w:val="24"/>
          <w:szCs w:val="24"/>
          <w:lang w:eastAsia="bg-BG"/>
        </w:rPr>
        <w:t>е</w:t>
      </w:r>
      <w:r w:rsidR="00567DB5" w:rsidRPr="006A32E0">
        <w:rPr>
          <w:rFonts w:ascii="Times New Roman" w:eastAsia="Times New Roman" w:hAnsi="Times New Roman" w:cs="Times New Roman"/>
          <w:sz w:val="24"/>
          <w:szCs w:val="24"/>
          <w:lang w:eastAsia="bg-BG"/>
        </w:rPr>
        <w:t xml:space="preserve"> </w:t>
      </w:r>
      <w:r w:rsidRPr="006A32E0">
        <w:rPr>
          <w:rFonts w:ascii="Times New Roman" w:eastAsia="Times New Roman" w:hAnsi="Times New Roman" w:cs="Times New Roman"/>
          <w:sz w:val="24"/>
          <w:szCs w:val="24"/>
          <w:lang w:eastAsia="bg-BG"/>
        </w:rPr>
        <w:t xml:space="preserve">наблюдава </w:t>
      </w:r>
      <w:r w:rsidR="00567DB5" w:rsidRPr="006A32E0">
        <w:rPr>
          <w:rFonts w:ascii="Times New Roman" w:eastAsia="Times New Roman" w:hAnsi="Times New Roman" w:cs="Times New Roman"/>
          <w:sz w:val="24"/>
          <w:szCs w:val="24"/>
          <w:lang w:eastAsia="bg-BG"/>
        </w:rPr>
        <w:t>положителна промяна</w:t>
      </w:r>
      <w:r w:rsidR="007B377B" w:rsidRPr="006A32E0">
        <w:rPr>
          <w:rFonts w:ascii="Times New Roman" w:eastAsia="Times New Roman" w:hAnsi="Times New Roman" w:cs="Times New Roman"/>
          <w:sz w:val="24"/>
          <w:szCs w:val="24"/>
          <w:lang w:eastAsia="bg-BG"/>
        </w:rPr>
        <w:t xml:space="preserve"> </w:t>
      </w:r>
      <w:r w:rsidRPr="006A32E0">
        <w:rPr>
          <w:rFonts w:ascii="Times New Roman" w:eastAsia="Times New Roman" w:hAnsi="Times New Roman" w:cs="Times New Roman"/>
          <w:sz w:val="24"/>
          <w:szCs w:val="24"/>
          <w:lang w:eastAsia="bg-BG"/>
        </w:rPr>
        <w:t>в стойностите</w:t>
      </w:r>
      <w:r w:rsidR="00481C40">
        <w:rPr>
          <w:rFonts w:ascii="Times New Roman" w:eastAsia="Times New Roman" w:hAnsi="Times New Roman" w:cs="Times New Roman"/>
          <w:sz w:val="24"/>
          <w:szCs w:val="24"/>
          <w:lang w:eastAsia="bg-BG"/>
        </w:rPr>
        <w:t xml:space="preserve"> за наблюдавания период</w:t>
      </w:r>
      <w:r w:rsidR="007B377B" w:rsidRPr="006A32E0">
        <w:rPr>
          <w:rFonts w:ascii="Times New Roman" w:eastAsia="Times New Roman" w:hAnsi="Times New Roman" w:cs="Times New Roman"/>
          <w:sz w:val="24"/>
          <w:szCs w:val="24"/>
          <w:lang w:eastAsia="bg-BG"/>
        </w:rPr>
        <w:t>:</w:t>
      </w:r>
    </w:p>
    <w:p w:rsidR="00567DB5" w:rsidRDefault="00567DB5" w:rsidP="00567DB5">
      <w:pPr>
        <w:pStyle w:val="Default"/>
        <w:numPr>
          <w:ilvl w:val="0"/>
          <w:numId w:val="23"/>
        </w:numPr>
        <w:spacing w:line="360" w:lineRule="auto"/>
        <w:jc w:val="both"/>
      </w:pPr>
      <w:r w:rsidRPr="0063690C">
        <w:t>общ положителен ръст по отношение на доходите и средната годишна работна заплата</w:t>
      </w:r>
      <w:r w:rsidR="00373CC2">
        <w:t>;</w:t>
      </w:r>
    </w:p>
    <w:p w:rsidR="00567DB5" w:rsidRDefault="00567DB5" w:rsidP="00567DB5">
      <w:pPr>
        <w:pStyle w:val="Default"/>
        <w:numPr>
          <w:ilvl w:val="0"/>
          <w:numId w:val="23"/>
        </w:numPr>
        <w:spacing w:line="360" w:lineRule="auto"/>
        <w:jc w:val="both"/>
      </w:pPr>
      <w:r w:rsidRPr="0063690C">
        <w:t>лек спад на безработицата, заетостта варира като общата тенденция е на увеличе</w:t>
      </w:r>
      <w:r w:rsidR="00481C40">
        <w:t>ние</w:t>
      </w:r>
      <w:r w:rsidR="00373CC2">
        <w:t>;</w:t>
      </w:r>
    </w:p>
    <w:p w:rsidR="00567DB5" w:rsidRDefault="007B377B" w:rsidP="007B377B">
      <w:pPr>
        <w:pStyle w:val="Default"/>
        <w:numPr>
          <w:ilvl w:val="0"/>
          <w:numId w:val="23"/>
        </w:numPr>
        <w:spacing w:line="360" w:lineRule="auto"/>
        <w:jc w:val="both"/>
      </w:pPr>
      <w:r>
        <w:t>увеличение на</w:t>
      </w:r>
      <w:r w:rsidRPr="0063690C">
        <w:t xml:space="preserve"> </w:t>
      </w:r>
      <w:r w:rsidR="00567DB5" w:rsidRPr="0063690C">
        <w:t>БВП на човек от населението</w:t>
      </w:r>
      <w:r w:rsidR="00373CC2">
        <w:t>;</w:t>
      </w:r>
    </w:p>
    <w:p w:rsidR="00567DB5" w:rsidRDefault="00567DB5" w:rsidP="007B377B">
      <w:pPr>
        <w:pStyle w:val="Default"/>
        <w:numPr>
          <w:ilvl w:val="0"/>
          <w:numId w:val="23"/>
        </w:numPr>
        <w:spacing w:line="360" w:lineRule="auto"/>
        <w:jc w:val="both"/>
      </w:pPr>
      <w:r w:rsidRPr="0063690C">
        <w:t>нарастване на инвестиционната активност на предприятията</w:t>
      </w:r>
      <w:r>
        <w:t xml:space="preserve"> – увеличение на </w:t>
      </w:r>
      <w:r w:rsidR="00373CC2">
        <w:t>п</w:t>
      </w:r>
      <w:r w:rsidRPr="0063690C">
        <w:t>реките чуждестранни инвестиции</w:t>
      </w:r>
      <w:r>
        <w:t xml:space="preserve"> и </w:t>
      </w:r>
      <w:r w:rsidR="00373CC2">
        <w:t>р</w:t>
      </w:r>
      <w:r w:rsidRPr="007B377B">
        <w:t>азходите за научноизследователска и развойна дейност</w:t>
      </w:r>
      <w:r w:rsidR="00373CC2">
        <w:t>;</w:t>
      </w:r>
      <w:r w:rsidRPr="007B377B">
        <w:t xml:space="preserve"> </w:t>
      </w:r>
    </w:p>
    <w:p w:rsidR="00567DB5" w:rsidRDefault="00567DB5" w:rsidP="007B377B">
      <w:pPr>
        <w:pStyle w:val="Default"/>
        <w:numPr>
          <w:ilvl w:val="0"/>
          <w:numId w:val="23"/>
        </w:numPr>
        <w:spacing w:line="360" w:lineRule="auto"/>
        <w:jc w:val="both"/>
      </w:pPr>
      <w:r w:rsidRPr="0063690C">
        <w:t>увеличение на площите с ниви и лозя</w:t>
      </w:r>
      <w:r w:rsidR="00373CC2">
        <w:t>;</w:t>
      </w:r>
    </w:p>
    <w:p w:rsidR="00567DB5" w:rsidRDefault="00567DB5" w:rsidP="007B377B">
      <w:pPr>
        <w:pStyle w:val="Default"/>
        <w:numPr>
          <w:ilvl w:val="0"/>
          <w:numId w:val="23"/>
        </w:numPr>
        <w:spacing w:line="360" w:lineRule="auto"/>
        <w:jc w:val="both"/>
      </w:pPr>
      <w:r>
        <w:t>нараства</w:t>
      </w:r>
      <w:r w:rsidR="00373CC2">
        <w:t>не</w:t>
      </w:r>
      <w:r>
        <w:t xml:space="preserve"> броят на </w:t>
      </w:r>
      <w:r w:rsidR="00373CC2">
        <w:t>н</w:t>
      </w:r>
      <w:r w:rsidRPr="00041643">
        <w:t>оворегистрираните</w:t>
      </w:r>
      <w:r>
        <w:t xml:space="preserve"> и</w:t>
      </w:r>
      <w:r w:rsidRPr="00041643">
        <w:t xml:space="preserve"> </w:t>
      </w:r>
      <w:r w:rsidR="00373CC2">
        <w:t>п</w:t>
      </w:r>
      <w:r w:rsidRPr="00041643">
        <w:t>ререгистрирани земеделски стопани</w:t>
      </w:r>
      <w:r w:rsidR="00373CC2">
        <w:t>;</w:t>
      </w:r>
      <w:r w:rsidRPr="00041643">
        <w:t xml:space="preserve"> </w:t>
      </w:r>
    </w:p>
    <w:p w:rsidR="00567DB5" w:rsidRDefault="00567DB5" w:rsidP="007B377B">
      <w:pPr>
        <w:pStyle w:val="Default"/>
        <w:numPr>
          <w:ilvl w:val="0"/>
          <w:numId w:val="23"/>
        </w:numPr>
        <w:spacing w:line="360" w:lineRule="auto"/>
        <w:jc w:val="both"/>
      </w:pPr>
      <w:r>
        <w:t>нараства</w:t>
      </w:r>
      <w:r w:rsidR="00373CC2">
        <w:t>не на</w:t>
      </w:r>
      <w:r>
        <w:t xml:space="preserve"> </w:t>
      </w:r>
      <w:r w:rsidR="00373CC2">
        <w:t>р</w:t>
      </w:r>
      <w:r w:rsidRPr="0063690C">
        <w:t>еализираните нетни приходи от продажби</w:t>
      </w:r>
      <w:r w:rsidR="00373CC2">
        <w:t>;</w:t>
      </w:r>
    </w:p>
    <w:p w:rsidR="00567DB5" w:rsidRPr="001C26E5" w:rsidRDefault="00567DB5" w:rsidP="00567DB5">
      <w:pPr>
        <w:pStyle w:val="ListParagraph"/>
        <w:numPr>
          <w:ilvl w:val="0"/>
          <w:numId w:val="23"/>
        </w:numPr>
        <w:spacing w:after="0" w:line="360" w:lineRule="auto"/>
        <w:contextualSpacing w:val="0"/>
        <w:jc w:val="both"/>
        <w:rPr>
          <w:rFonts w:ascii="Times New Roman" w:hAnsi="Times New Roman" w:cs="Times New Roman"/>
          <w:color w:val="000000"/>
          <w:sz w:val="24"/>
          <w:szCs w:val="24"/>
        </w:rPr>
      </w:pPr>
      <w:r w:rsidRPr="0063690C">
        <w:rPr>
          <w:rFonts w:ascii="Times New Roman" w:hAnsi="Times New Roman" w:cs="Times New Roman"/>
          <w:sz w:val="24"/>
          <w:szCs w:val="24"/>
        </w:rPr>
        <w:t>тенденция на подобряване качеството на атмосферния въздух</w:t>
      </w:r>
      <w:r w:rsidR="00373CC2">
        <w:rPr>
          <w:rFonts w:ascii="Times New Roman" w:hAnsi="Times New Roman" w:cs="Times New Roman"/>
          <w:sz w:val="24"/>
          <w:szCs w:val="24"/>
        </w:rPr>
        <w:t>;</w:t>
      </w:r>
      <w:r>
        <w:rPr>
          <w:rFonts w:ascii="Times New Roman" w:hAnsi="Times New Roman" w:cs="Times New Roman"/>
          <w:sz w:val="24"/>
          <w:szCs w:val="24"/>
        </w:rPr>
        <w:t xml:space="preserve"> </w:t>
      </w:r>
    </w:p>
    <w:p w:rsidR="00567DB5" w:rsidRPr="001C26E5" w:rsidRDefault="00373CC2" w:rsidP="00567DB5">
      <w:pPr>
        <w:pStyle w:val="ListParagraph"/>
        <w:numPr>
          <w:ilvl w:val="0"/>
          <w:numId w:val="23"/>
        </w:numPr>
        <w:spacing w:after="0" w:line="360" w:lineRule="auto"/>
        <w:contextualSpacing w:val="0"/>
        <w:jc w:val="both"/>
        <w:rPr>
          <w:rFonts w:ascii="Times New Roman" w:hAnsi="Times New Roman" w:cs="Times New Roman"/>
          <w:color w:val="000000"/>
          <w:sz w:val="24"/>
          <w:szCs w:val="24"/>
        </w:rPr>
      </w:pPr>
      <w:r>
        <w:rPr>
          <w:rFonts w:ascii="Times New Roman" w:hAnsi="Times New Roman" w:cs="Times New Roman"/>
          <w:sz w:val="24"/>
          <w:szCs w:val="24"/>
        </w:rPr>
        <w:t>сравнително малко</w:t>
      </w:r>
      <w:r w:rsidRPr="0063690C">
        <w:rPr>
          <w:rFonts w:ascii="Times New Roman" w:hAnsi="Times New Roman" w:cs="Times New Roman"/>
          <w:sz w:val="24"/>
          <w:szCs w:val="24"/>
        </w:rPr>
        <w:t xml:space="preserve"> </w:t>
      </w:r>
      <w:r>
        <w:rPr>
          <w:rFonts w:ascii="Times New Roman" w:hAnsi="Times New Roman" w:cs="Times New Roman"/>
          <w:sz w:val="24"/>
          <w:szCs w:val="24"/>
        </w:rPr>
        <w:t>о</w:t>
      </w:r>
      <w:r w:rsidR="00567DB5" w:rsidRPr="0063690C">
        <w:rPr>
          <w:rFonts w:ascii="Times New Roman" w:hAnsi="Times New Roman" w:cs="Times New Roman"/>
          <w:sz w:val="24"/>
          <w:szCs w:val="24"/>
        </w:rPr>
        <w:t>бразувани битови о</w:t>
      </w:r>
      <w:r>
        <w:rPr>
          <w:rFonts w:ascii="Times New Roman" w:hAnsi="Times New Roman" w:cs="Times New Roman"/>
          <w:sz w:val="24"/>
          <w:szCs w:val="24"/>
        </w:rPr>
        <w:t>тпадъци на глава от населението;</w:t>
      </w:r>
    </w:p>
    <w:p w:rsidR="00567DB5" w:rsidRPr="001C26E5" w:rsidRDefault="00373CC2" w:rsidP="00567DB5">
      <w:pPr>
        <w:pStyle w:val="ListParagraph"/>
        <w:numPr>
          <w:ilvl w:val="0"/>
          <w:numId w:val="23"/>
        </w:numPr>
        <w:spacing w:after="0" w:line="360" w:lineRule="auto"/>
        <w:contextualSpacing w:val="0"/>
        <w:jc w:val="both"/>
        <w:rPr>
          <w:rFonts w:ascii="Times New Roman" w:hAnsi="Times New Roman" w:cs="Times New Roman"/>
          <w:color w:val="000000"/>
          <w:sz w:val="24"/>
          <w:szCs w:val="24"/>
        </w:rPr>
      </w:pPr>
      <w:r w:rsidRPr="0063690C">
        <w:rPr>
          <w:rFonts w:ascii="Times New Roman" w:hAnsi="Times New Roman" w:cs="Times New Roman"/>
          <w:sz w:val="24"/>
          <w:szCs w:val="24"/>
        </w:rPr>
        <w:t>повишава</w:t>
      </w:r>
      <w:r>
        <w:rPr>
          <w:rFonts w:ascii="Times New Roman" w:hAnsi="Times New Roman" w:cs="Times New Roman"/>
          <w:sz w:val="24"/>
          <w:szCs w:val="24"/>
        </w:rPr>
        <w:t>не</w:t>
      </w:r>
      <w:r w:rsidRPr="0063690C">
        <w:rPr>
          <w:rFonts w:ascii="Times New Roman" w:hAnsi="Times New Roman" w:cs="Times New Roman"/>
          <w:sz w:val="24"/>
          <w:szCs w:val="24"/>
        </w:rPr>
        <w:t xml:space="preserve"> </w:t>
      </w:r>
      <w:r w:rsidR="00567DB5" w:rsidRPr="0063690C">
        <w:rPr>
          <w:rFonts w:ascii="Times New Roman" w:hAnsi="Times New Roman" w:cs="Times New Roman"/>
          <w:sz w:val="24"/>
          <w:szCs w:val="24"/>
        </w:rPr>
        <w:t>свързаността с пречи</w:t>
      </w:r>
      <w:r>
        <w:rPr>
          <w:rFonts w:ascii="Times New Roman" w:hAnsi="Times New Roman" w:cs="Times New Roman"/>
          <w:sz w:val="24"/>
          <w:szCs w:val="24"/>
        </w:rPr>
        <w:t>ствателни станции в областта;</w:t>
      </w:r>
    </w:p>
    <w:p w:rsidR="00567DB5" w:rsidRPr="00583C71" w:rsidRDefault="00373CC2" w:rsidP="00567DB5">
      <w:pPr>
        <w:pStyle w:val="ListParagraph"/>
        <w:numPr>
          <w:ilvl w:val="0"/>
          <w:numId w:val="23"/>
        </w:numPr>
        <w:spacing w:after="0" w:line="360" w:lineRule="auto"/>
        <w:contextualSpacing w:val="0"/>
        <w:jc w:val="both"/>
        <w:rPr>
          <w:rFonts w:ascii="Times New Roman" w:hAnsi="Times New Roman" w:cs="Times New Roman"/>
          <w:color w:val="000000"/>
          <w:sz w:val="24"/>
          <w:szCs w:val="24"/>
        </w:rPr>
      </w:pPr>
      <w:r>
        <w:rPr>
          <w:rFonts w:ascii="Times New Roman" w:hAnsi="Times New Roman" w:cs="Times New Roman"/>
          <w:sz w:val="24"/>
          <w:szCs w:val="24"/>
        </w:rPr>
        <w:t>увеличаване</w:t>
      </w:r>
      <w:r w:rsidRPr="0063690C">
        <w:rPr>
          <w:rFonts w:ascii="Times New Roman" w:hAnsi="Times New Roman" w:cs="Times New Roman"/>
          <w:sz w:val="24"/>
          <w:szCs w:val="24"/>
        </w:rPr>
        <w:t xml:space="preserve"> </w:t>
      </w:r>
      <w:r>
        <w:rPr>
          <w:rFonts w:ascii="Times New Roman" w:hAnsi="Times New Roman" w:cs="Times New Roman"/>
          <w:sz w:val="24"/>
          <w:szCs w:val="24"/>
        </w:rPr>
        <w:t>д</w:t>
      </w:r>
      <w:r w:rsidR="00567DB5" w:rsidRPr="0063690C">
        <w:rPr>
          <w:rFonts w:ascii="Times New Roman" w:hAnsi="Times New Roman" w:cs="Times New Roman"/>
          <w:sz w:val="24"/>
          <w:szCs w:val="24"/>
        </w:rPr>
        <w:t>елът на населението с достъп до канализацията</w:t>
      </w:r>
      <w:r>
        <w:rPr>
          <w:rFonts w:ascii="Times New Roman" w:hAnsi="Times New Roman" w:cs="Times New Roman"/>
          <w:sz w:val="24"/>
          <w:szCs w:val="24"/>
        </w:rPr>
        <w:t>;</w:t>
      </w:r>
    </w:p>
    <w:p w:rsidR="00567DB5" w:rsidRPr="001C26E5" w:rsidRDefault="00567DB5" w:rsidP="00567DB5">
      <w:pPr>
        <w:pStyle w:val="ListParagraph"/>
        <w:numPr>
          <w:ilvl w:val="0"/>
          <w:numId w:val="23"/>
        </w:numPr>
        <w:spacing w:after="0" w:line="360" w:lineRule="auto"/>
        <w:contextualSpacing w:val="0"/>
        <w:jc w:val="both"/>
        <w:rPr>
          <w:rFonts w:ascii="Times New Roman" w:hAnsi="Times New Roman" w:cs="Times New Roman"/>
          <w:color w:val="000000"/>
          <w:sz w:val="24"/>
          <w:szCs w:val="24"/>
        </w:rPr>
      </w:pPr>
      <w:r w:rsidRPr="0063690C">
        <w:rPr>
          <w:rFonts w:ascii="Times New Roman" w:hAnsi="Times New Roman" w:cs="Times New Roman"/>
          <w:sz w:val="24"/>
          <w:szCs w:val="24"/>
        </w:rPr>
        <w:t>покачване на разходит</w:t>
      </w:r>
      <w:r>
        <w:rPr>
          <w:rFonts w:ascii="Times New Roman" w:hAnsi="Times New Roman" w:cs="Times New Roman"/>
          <w:sz w:val="24"/>
          <w:szCs w:val="24"/>
        </w:rPr>
        <w:t>е за опазване на околната среда и д</w:t>
      </w:r>
      <w:r w:rsidRPr="0063690C">
        <w:rPr>
          <w:rFonts w:ascii="Times New Roman" w:hAnsi="Times New Roman" w:cs="Times New Roman"/>
          <w:sz w:val="24"/>
          <w:szCs w:val="24"/>
        </w:rPr>
        <w:t>ълготрайните материални активи с екологично предназначение</w:t>
      </w:r>
      <w:r w:rsidR="00373CC2">
        <w:rPr>
          <w:rFonts w:ascii="Times New Roman" w:hAnsi="Times New Roman" w:cs="Times New Roman"/>
          <w:sz w:val="24"/>
          <w:szCs w:val="24"/>
        </w:rPr>
        <w:t>;</w:t>
      </w:r>
    </w:p>
    <w:p w:rsidR="00567DB5" w:rsidRDefault="00373CC2" w:rsidP="00567DB5">
      <w:pPr>
        <w:pStyle w:val="ListParagraph"/>
        <w:numPr>
          <w:ilvl w:val="0"/>
          <w:numId w:val="24"/>
        </w:numPr>
        <w:spacing w:after="0" w:line="360" w:lineRule="auto"/>
        <w:contextualSpacing w:val="0"/>
        <w:jc w:val="both"/>
        <w:rPr>
          <w:rFonts w:ascii="Times New Roman" w:hAnsi="Times New Roman" w:cs="Times New Roman"/>
          <w:sz w:val="24"/>
          <w:szCs w:val="24"/>
        </w:rPr>
      </w:pPr>
      <w:r w:rsidRPr="003D5728">
        <w:rPr>
          <w:rFonts w:ascii="Times New Roman" w:hAnsi="Times New Roman" w:cs="Times New Roman"/>
          <w:sz w:val="24"/>
          <w:szCs w:val="24"/>
        </w:rPr>
        <w:t xml:space="preserve">добре развита </w:t>
      </w:r>
      <w:r>
        <w:rPr>
          <w:rFonts w:ascii="Times New Roman" w:hAnsi="Times New Roman" w:cs="Times New Roman"/>
          <w:sz w:val="24"/>
          <w:szCs w:val="24"/>
        </w:rPr>
        <w:t>м</w:t>
      </w:r>
      <w:r w:rsidR="00567DB5" w:rsidRPr="003D5728">
        <w:rPr>
          <w:rFonts w:ascii="Times New Roman" w:hAnsi="Times New Roman" w:cs="Times New Roman"/>
          <w:sz w:val="24"/>
          <w:szCs w:val="24"/>
        </w:rPr>
        <w:t>режа от начални, осн</w:t>
      </w:r>
      <w:r>
        <w:rPr>
          <w:rFonts w:ascii="Times New Roman" w:hAnsi="Times New Roman" w:cs="Times New Roman"/>
          <w:sz w:val="24"/>
          <w:szCs w:val="24"/>
        </w:rPr>
        <w:t>овни, общообразователни училища и</w:t>
      </w:r>
      <w:r w:rsidR="00567DB5" w:rsidRPr="003D5728">
        <w:rPr>
          <w:rFonts w:ascii="Times New Roman" w:hAnsi="Times New Roman" w:cs="Times New Roman"/>
          <w:sz w:val="24"/>
          <w:szCs w:val="24"/>
        </w:rPr>
        <w:t xml:space="preserve"> професионални гимназии</w:t>
      </w:r>
      <w:r>
        <w:rPr>
          <w:rFonts w:ascii="Times New Roman" w:hAnsi="Times New Roman" w:cs="Times New Roman"/>
          <w:sz w:val="24"/>
          <w:szCs w:val="24"/>
        </w:rPr>
        <w:t>;</w:t>
      </w:r>
      <w:r w:rsidR="00567DB5" w:rsidRPr="003D5728">
        <w:rPr>
          <w:rFonts w:ascii="Times New Roman" w:hAnsi="Times New Roman" w:cs="Times New Roman"/>
          <w:sz w:val="24"/>
          <w:szCs w:val="24"/>
        </w:rPr>
        <w:t xml:space="preserve"> </w:t>
      </w:r>
    </w:p>
    <w:p w:rsidR="00567DB5" w:rsidRDefault="00567DB5" w:rsidP="00567DB5">
      <w:pPr>
        <w:pStyle w:val="ListParagraph"/>
        <w:numPr>
          <w:ilvl w:val="0"/>
          <w:numId w:val="24"/>
        </w:numPr>
        <w:spacing w:after="0" w:line="360" w:lineRule="auto"/>
        <w:contextualSpacing w:val="0"/>
        <w:jc w:val="both"/>
        <w:rPr>
          <w:rFonts w:ascii="Times New Roman" w:hAnsi="Times New Roman" w:cs="Times New Roman"/>
          <w:sz w:val="24"/>
          <w:szCs w:val="24"/>
        </w:rPr>
      </w:pPr>
      <w:r w:rsidRPr="0063690C">
        <w:rPr>
          <w:rFonts w:ascii="Times New Roman" w:hAnsi="Times New Roman" w:cs="Times New Roman"/>
          <w:sz w:val="24"/>
          <w:szCs w:val="24"/>
        </w:rPr>
        <w:t>положителна тенденция към увеличаване на броя на завършилите висше образование</w:t>
      </w:r>
      <w:r w:rsidR="00373CC2">
        <w:rPr>
          <w:rFonts w:ascii="Times New Roman" w:hAnsi="Times New Roman" w:cs="Times New Roman"/>
          <w:sz w:val="24"/>
          <w:szCs w:val="24"/>
        </w:rPr>
        <w:t>;</w:t>
      </w:r>
    </w:p>
    <w:p w:rsidR="00567DB5" w:rsidRPr="003D5728" w:rsidRDefault="00373CC2" w:rsidP="00567DB5">
      <w:pPr>
        <w:pStyle w:val="ListParagraph"/>
        <w:numPr>
          <w:ilvl w:val="0"/>
          <w:numId w:val="24"/>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н</w:t>
      </w:r>
      <w:r w:rsidR="00567DB5" w:rsidRPr="0063690C">
        <w:rPr>
          <w:rFonts w:ascii="Times New Roman" w:hAnsi="Times New Roman" w:cs="Times New Roman"/>
          <w:sz w:val="24"/>
          <w:szCs w:val="24"/>
        </w:rPr>
        <w:t>аселението в област Ловеч е добре обезпечено с лекари</w:t>
      </w:r>
      <w:r>
        <w:rPr>
          <w:rFonts w:ascii="Times New Roman" w:hAnsi="Times New Roman" w:cs="Times New Roman"/>
          <w:sz w:val="24"/>
          <w:szCs w:val="24"/>
        </w:rPr>
        <w:t>.</w:t>
      </w:r>
    </w:p>
    <w:p w:rsidR="00567DB5" w:rsidRDefault="00567DB5" w:rsidP="00567DB5">
      <w:pPr>
        <w:spacing w:after="0" w:line="360" w:lineRule="auto"/>
        <w:jc w:val="both"/>
        <w:rPr>
          <w:rFonts w:ascii="Times New Roman" w:hAnsi="Times New Roman" w:cs="Times New Roman"/>
          <w:sz w:val="24"/>
          <w:szCs w:val="24"/>
        </w:rPr>
      </w:pPr>
    </w:p>
    <w:p w:rsidR="00567DB5" w:rsidRPr="006A32E0" w:rsidRDefault="00180307" w:rsidP="00481C40">
      <w:pPr>
        <w:spacing w:after="0" w:line="360" w:lineRule="auto"/>
        <w:ind w:firstLine="680"/>
        <w:jc w:val="both"/>
        <w:rPr>
          <w:rFonts w:ascii="Times New Roman" w:eastAsia="Times New Roman" w:hAnsi="Times New Roman" w:cs="Times New Roman"/>
          <w:sz w:val="24"/>
          <w:szCs w:val="24"/>
          <w:lang w:eastAsia="bg-BG"/>
        </w:rPr>
      </w:pPr>
      <w:r w:rsidRPr="006A32E0">
        <w:rPr>
          <w:rFonts w:ascii="Times New Roman" w:eastAsia="Times New Roman" w:hAnsi="Times New Roman" w:cs="Times New Roman"/>
          <w:sz w:val="24"/>
          <w:szCs w:val="24"/>
          <w:lang w:eastAsia="bg-BG"/>
        </w:rPr>
        <w:t xml:space="preserve">При следните критерии и индикатори се наблюдава </w:t>
      </w:r>
      <w:r w:rsidR="00567DB5" w:rsidRPr="006A32E0">
        <w:rPr>
          <w:rFonts w:ascii="Times New Roman" w:eastAsia="Times New Roman" w:hAnsi="Times New Roman" w:cs="Times New Roman"/>
          <w:sz w:val="24"/>
          <w:szCs w:val="24"/>
          <w:lang w:eastAsia="bg-BG"/>
        </w:rPr>
        <w:t>отрицателна промяна</w:t>
      </w:r>
      <w:r w:rsidRPr="006A32E0">
        <w:rPr>
          <w:rFonts w:ascii="Times New Roman" w:eastAsia="Times New Roman" w:hAnsi="Times New Roman" w:cs="Times New Roman"/>
          <w:sz w:val="24"/>
          <w:szCs w:val="24"/>
          <w:lang w:eastAsia="bg-BG"/>
        </w:rPr>
        <w:t xml:space="preserve"> на стойностите</w:t>
      </w:r>
      <w:r w:rsidR="00E2216B" w:rsidRPr="006A32E0">
        <w:rPr>
          <w:rFonts w:ascii="Times New Roman" w:eastAsia="Times New Roman" w:hAnsi="Times New Roman" w:cs="Times New Roman"/>
          <w:sz w:val="24"/>
          <w:szCs w:val="24"/>
          <w:lang w:eastAsia="bg-BG"/>
        </w:rPr>
        <w:t>:</w:t>
      </w:r>
      <w:r w:rsidR="00567DB5" w:rsidRPr="006A32E0">
        <w:rPr>
          <w:rFonts w:ascii="Times New Roman" w:eastAsia="Times New Roman" w:hAnsi="Times New Roman" w:cs="Times New Roman"/>
          <w:sz w:val="24"/>
          <w:szCs w:val="24"/>
          <w:lang w:eastAsia="bg-BG"/>
        </w:rPr>
        <w:t xml:space="preserve"> </w:t>
      </w:r>
    </w:p>
    <w:p w:rsidR="00567DB5" w:rsidRDefault="00567DB5" w:rsidP="00481C40">
      <w:pPr>
        <w:pStyle w:val="Default"/>
        <w:numPr>
          <w:ilvl w:val="0"/>
          <w:numId w:val="23"/>
        </w:numPr>
        <w:spacing w:line="360" w:lineRule="auto"/>
        <w:jc w:val="both"/>
      </w:pPr>
      <w:r w:rsidRPr="0063690C">
        <w:t>тенденция на намаляване на населението</w:t>
      </w:r>
      <w:r w:rsidR="00481C40">
        <w:t>;</w:t>
      </w:r>
    </w:p>
    <w:p w:rsidR="00567DB5" w:rsidRDefault="00567DB5" w:rsidP="00481C40">
      <w:pPr>
        <w:pStyle w:val="Default"/>
        <w:numPr>
          <w:ilvl w:val="0"/>
          <w:numId w:val="23"/>
        </w:numPr>
        <w:spacing w:line="360" w:lineRule="auto"/>
        <w:jc w:val="both"/>
      </w:pPr>
      <w:r w:rsidRPr="0063690C">
        <w:t>намаляване на населението в подтрудоспособна възраст и слабо покачване на хората в надтрудоспособна възраст</w:t>
      </w:r>
      <w:r w:rsidR="00481C40">
        <w:t>;</w:t>
      </w:r>
    </w:p>
    <w:p w:rsidR="00567DB5" w:rsidRDefault="00567DB5" w:rsidP="00481C40">
      <w:pPr>
        <w:pStyle w:val="Default"/>
        <w:numPr>
          <w:ilvl w:val="0"/>
          <w:numId w:val="23"/>
        </w:numPr>
        <w:spacing w:line="360" w:lineRule="auto"/>
        <w:jc w:val="both"/>
        <w:rPr>
          <w:shd w:val="clear" w:color="auto" w:fill="FFFFFF"/>
        </w:rPr>
      </w:pPr>
      <w:r w:rsidRPr="0063690C">
        <w:t>намаляване</w:t>
      </w:r>
      <w:r>
        <w:t xml:space="preserve"> на раждаемостта в областта с 0,5</w:t>
      </w:r>
      <w:r w:rsidRPr="0063690C">
        <w:rPr>
          <w:shd w:val="clear" w:color="auto" w:fill="FFFFFF"/>
        </w:rPr>
        <w:t>‰</w:t>
      </w:r>
      <w:r>
        <w:rPr>
          <w:shd w:val="clear" w:color="auto" w:fill="FFFFFF"/>
        </w:rPr>
        <w:t xml:space="preserve"> и</w:t>
      </w:r>
      <w:r w:rsidRPr="0063690C">
        <w:rPr>
          <w:shd w:val="clear" w:color="auto" w:fill="FFFFFF"/>
        </w:rPr>
        <w:t xml:space="preserve"> леко покачване на смъ</w:t>
      </w:r>
      <w:r w:rsidR="00481C40">
        <w:rPr>
          <w:shd w:val="clear" w:color="auto" w:fill="FFFFFF"/>
        </w:rPr>
        <w:t>ртността с 0,2‰;</w:t>
      </w:r>
    </w:p>
    <w:p w:rsidR="00567DB5" w:rsidRDefault="00567DB5" w:rsidP="00481C40">
      <w:pPr>
        <w:pStyle w:val="Default"/>
        <w:numPr>
          <w:ilvl w:val="0"/>
          <w:numId w:val="23"/>
        </w:numPr>
        <w:spacing w:line="360" w:lineRule="auto"/>
        <w:jc w:val="both"/>
        <w:rPr>
          <w:shd w:val="clear" w:color="auto" w:fill="FFFFFF"/>
        </w:rPr>
      </w:pPr>
      <w:r w:rsidRPr="0063690C">
        <w:rPr>
          <w:shd w:val="clear" w:color="auto" w:fill="FFFFFF"/>
        </w:rPr>
        <w:t>механичният прираст се запазва отрицателен</w:t>
      </w:r>
      <w:r w:rsidR="00481C40">
        <w:rPr>
          <w:shd w:val="clear" w:color="auto" w:fill="FFFFFF"/>
        </w:rPr>
        <w:t>;</w:t>
      </w:r>
    </w:p>
    <w:p w:rsidR="00567DB5" w:rsidRPr="00E2216B" w:rsidRDefault="00567DB5" w:rsidP="00481C40">
      <w:pPr>
        <w:pStyle w:val="Default"/>
        <w:numPr>
          <w:ilvl w:val="0"/>
          <w:numId w:val="23"/>
        </w:numPr>
        <w:spacing w:line="360" w:lineRule="auto"/>
        <w:jc w:val="both"/>
        <w:rPr>
          <w:shd w:val="clear" w:color="auto" w:fill="FFFFFF"/>
        </w:rPr>
      </w:pPr>
      <w:r w:rsidRPr="00E2216B">
        <w:rPr>
          <w:shd w:val="clear" w:color="auto" w:fill="FFFFFF"/>
        </w:rPr>
        <w:t>спад на БВП и БДС</w:t>
      </w:r>
      <w:r w:rsidR="00481C40">
        <w:rPr>
          <w:shd w:val="clear" w:color="auto" w:fill="FFFFFF"/>
        </w:rPr>
        <w:t>;</w:t>
      </w:r>
    </w:p>
    <w:p w:rsidR="00567DB5" w:rsidRPr="00E2216B" w:rsidRDefault="00E2216B" w:rsidP="00481C40">
      <w:pPr>
        <w:pStyle w:val="Default"/>
        <w:numPr>
          <w:ilvl w:val="0"/>
          <w:numId w:val="23"/>
        </w:numPr>
        <w:spacing w:line="360" w:lineRule="auto"/>
        <w:jc w:val="both"/>
        <w:rPr>
          <w:shd w:val="clear" w:color="auto" w:fill="FFFFFF"/>
        </w:rPr>
      </w:pPr>
      <w:r w:rsidRPr="00E2216B">
        <w:rPr>
          <w:shd w:val="clear" w:color="auto" w:fill="FFFFFF"/>
        </w:rPr>
        <w:t>намалява</w:t>
      </w:r>
      <w:r>
        <w:rPr>
          <w:shd w:val="clear" w:color="auto" w:fill="FFFFFF"/>
        </w:rPr>
        <w:t>не на</w:t>
      </w:r>
      <w:r w:rsidRPr="00E2216B">
        <w:rPr>
          <w:shd w:val="clear" w:color="auto" w:fill="FFFFFF"/>
        </w:rPr>
        <w:t xml:space="preserve"> </w:t>
      </w:r>
      <w:r>
        <w:rPr>
          <w:shd w:val="clear" w:color="auto" w:fill="FFFFFF"/>
        </w:rPr>
        <w:t>р</w:t>
      </w:r>
      <w:r w:rsidR="00567DB5" w:rsidRPr="00E2216B">
        <w:rPr>
          <w:shd w:val="clear" w:color="auto" w:fill="FFFFFF"/>
        </w:rPr>
        <w:t>азходите за придобиване на ДМА</w:t>
      </w:r>
      <w:r w:rsidR="00481C40">
        <w:rPr>
          <w:shd w:val="clear" w:color="auto" w:fill="FFFFFF"/>
        </w:rPr>
        <w:t>;</w:t>
      </w:r>
      <w:r w:rsidR="00567DB5" w:rsidRPr="00E2216B">
        <w:rPr>
          <w:shd w:val="clear" w:color="auto" w:fill="FFFFFF"/>
        </w:rPr>
        <w:t xml:space="preserve"> </w:t>
      </w:r>
    </w:p>
    <w:p w:rsidR="00567DB5" w:rsidRPr="00E2216B" w:rsidRDefault="00481C40" w:rsidP="00481C40">
      <w:pPr>
        <w:pStyle w:val="Default"/>
        <w:numPr>
          <w:ilvl w:val="0"/>
          <w:numId w:val="23"/>
        </w:numPr>
        <w:spacing w:line="360" w:lineRule="auto"/>
        <w:jc w:val="both"/>
        <w:rPr>
          <w:shd w:val="clear" w:color="auto" w:fill="FFFFFF"/>
        </w:rPr>
      </w:pPr>
      <w:r w:rsidRPr="0063690C">
        <w:t xml:space="preserve">намаляване </w:t>
      </w:r>
      <w:r>
        <w:rPr>
          <w:shd w:val="clear" w:color="auto" w:fill="FFFFFF"/>
        </w:rPr>
        <w:t>на с</w:t>
      </w:r>
      <w:r w:rsidR="00567DB5" w:rsidRPr="00E2216B">
        <w:rPr>
          <w:shd w:val="clear" w:color="auto" w:fill="FFFFFF"/>
        </w:rPr>
        <w:t>елскостопанския фонд</w:t>
      </w:r>
      <w:r>
        <w:rPr>
          <w:shd w:val="clear" w:color="auto" w:fill="FFFFFF"/>
        </w:rPr>
        <w:t>;</w:t>
      </w:r>
    </w:p>
    <w:p w:rsidR="00567DB5" w:rsidRPr="00E2216B" w:rsidRDefault="00481C40" w:rsidP="00481C40">
      <w:pPr>
        <w:pStyle w:val="Default"/>
        <w:numPr>
          <w:ilvl w:val="0"/>
          <w:numId w:val="23"/>
        </w:numPr>
        <w:spacing w:line="360" w:lineRule="auto"/>
        <w:jc w:val="both"/>
        <w:rPr>
          <w:shd w:val="clear" w:color="auto" w:fill="FFFFFF"/>
        </w:rPr>
      </w:pPr>
      <w:r w:rsidRPr="0063690C">
        <w:t xml:space="preserve">намаляване </w:t>
      </w:r>
      <w:r>
        <w:t xml:space="preserve">на </w:t>
      </w:r>
      <w:r w:rsidR="00567DB5" w:rsidRPr="00E2216B">
        <w:rPr>
          <w:shd w:val="clear" w:color="auto" w:fill="FFFFFF"/>
        </w:rPr>
        <w:t>засетите площи с основните зърнени култури (пшеница, ечемик, царевица и рапица), ливадите и пасищата, както и на трайните насаждения</w:t>
      </w:r>
      <w:r>
        <w:rPr>
          <w:shd w:val="clear" w:color="auto" w:fill="FFFFFF"/>
        </w:rPr>
        <w:t>;</w:t>
      </w:r>
    </w:p>
    <w:p w:rsidR="00567DB5" w:rsidRPr="00E2216B" w:rsidRDefault="00481C40" w:rsidP="00481C40">
      <w:pPr>
        <w:pStyle w:val="Default"/>
        <w:numPr>
          <w:ilvl w:val="0"/>
          <w:numId w:val="23"/>
        </w:numPr>
        <w:spacing w:line="360" w:lineRule="auto"/>
        <w:jc w:val="both"/>
        <w:rPr>
          <w:shd w:val="clear" w:color="auto" w:fill="FFFFFF"/>
        </w:rPr>
      </w:pPr>
      <w:r w:rsidRPr="0063690C">
        <w:t xml:space="preserve">намаляване </w:t>
      </w:r>
      <w:r w:rsidR="00567DB5" w:rsidRPr="00E2216B">
        <w:rPr>
          <w:shd w:val="clear" w:color="auto" w:fill="FFFFFF"/>
        </w:rPr>
        <w:t>броят на отглежданите животни</w:t>
      </w:r>
      <w:r>
        <w:rPr>
          <w:shd w:val="clear" w:color="auto" w:fill="FFFFFF"/>
        </w:rPr>
        <w:t xml:space="preserve">; </w:t>
      </w:r>
    </w:p>
    <w:p w:rsidR="00567DB5" w:rsidRPr="00E2216B" w:rsidRDefault="00567DB5" w:rsidP="00481C40">
      <w:pPr>
        <w:pStyle w:val="Default"/>
        <w:numPr>
          <w:ilvl w:val="0"/>
          <w:numId w:val="23"/>
        </w:numPr>
        <w:spacing w:line="360" w:lineRule="auto"/>
        <w:jc w:val="both"/>
        <w:rPr>
          <w:shd w:val="clear" w:color="auto" w:fill="FFFFFF"/>
        </w:rPr>
      </w:pPr>
      <w:r w:rsidRPr="00E2216B">
        <w:rPr>
          <w:shd w:val="clear" w:color="auto" w:fill="FFFFFF"/>
        </w:rPr>
        <w:t xml:space="preserve">леко </w:t>
      </w:r>
      <w:r w:rsidR="00481C40" w:rsidRPr="0063690C">
        <w:t xml:space="preserve">намаляване </w:t>
      </w:r>
      <w:r w:rsidRPr="00E2216B">
        <w:rPr>
          <w:shd w:val="clear" w:color="auto" w:fill="FFFFFF"/>
        </w:rPr>
        <w:t>броят на предприятията и заетите в тях</w:t>
      </w:r>
      <w:r w:rsidR="00481C40">
        <w:rPr>
          <w:shd w:val="clear" w:color="auto" w:fill="FFFFFF"/>
        </w:rPr>
        <w:t>;</w:t>
      </w:r>
    </w:p>
    <w:p w:rsidR="00567DB5" w:rsidRPr="00E2216B" w:rsidRDefault="00481C40" w:rsidP="00481C40">
      <w:pPr>
        <w:pStyle w:val="Default"/>
        <w:numPr>
          <w:ilvl w:val="0"/>
          <w:numId w:val="23"/>
        </w:numPr>
        <w:spacing w:line="360" w:lineRule="auto"/>
        <w:jc w:val="both"/>
        <w:rPr>
          <w:shd w:val="clear" w:color="auto" w:fill="FFFFFF"/>
        </w:rPr>
      </w:pPr>
      <w:r>
        <w:rPr>
          <w:shd w:val="clear" w:color="auto" w:fill="FFFFFF"/>
        </w:rPr>
        <w:t>б</w:t>
      </w:r>
      <w:r w:rsidR="00567DB5" w:rsidRPr="00E2216B">
        <w:rPr>
          <w:shd w:val="clear" w:color="auto" w:fill="FFFFFF"/>
        </w:rPr>
        <w:t>роят на учащите в общообразователни и специални училища намалява</w:t>
      </w:r>
      <w:r>
        <w:rPr>
          <w:shd w:val="clear" w:color="auto" w:fill="FFFFFF"/>
        </w:rPr>
        <w:t>;</w:t>
      </w:r>
    </w:p>
    <w:p w:rsidR="00567DB5" w:rsidRPr="00E2216B" w:rsidRDefault="00567DB5" w:rsidP="00481C40">
      <w:pPr>
        <w:pStyle w:val="Default"/>
        <w:numPr>
          <w:ilvl w:val="0"/>
          <w:numId w:val="23"/>
        </w:numPr>
        <w:spacing w:line="360" w:lineRule="auto"/>
        <w:jc w:val="both"/>
        <w:rPr>
          <w:shd w:val="clear" w:color="auto" w:fill="FFFFFF"/>
        </w:rPr>
      </w:pPr>
      <w:r w:rsidRPr="00E2216B">
        <w:rPr>
          <w:shd w:val="clear" w:color="auto" w:fill="FFFFFF"/>
        </w:rPr>
        <w:t>делът на отпадналите от основното и средното образование леко се повишава</w:t>
      </w:r>
      <w:r w:rsidR="00481C40">
        <w:rPr>
          <w:shd w:val="clear" w:color="auto" w:fill="FFFFFF"/>
        </w:rPr>
        <w:t>;</w:t>
      </w:r>
    </w:p>
    <w:p w:rsidR="00567DB5" w:rsidRPr="00E2216B" w:rsidRDefault="00481C40" w:rsidP="00481C40">
      <w:pPr>
        <w:pStyle w:val="Default"/>
        <w:numPr>
          <w:ilvl w:val="0"/>
          <w:numId w:val="23"/>
        </w:numPr>
        <w:spacing w:line="360" w:lineRule="auto"/>
        <w:jc w:val="both"/>
        <w:rPr>
          <w:shd w:val="clear" w:color="auto" w:fill="FFFFFF"/>
        </w:rPr>
      </w:pPr>
      <w:r>
        <w:rPr>
          <w:shd w:val="clear" w:color="auto" w:fill="FFFFFF"/>
        </w:rPr>
        <w:t>р</w:t>
      </w:r>
      <w:r w:rsidR="00567DB5" w:rsidRPr="00E2216B">
        <w:rPr>
          <w:shd w:val="clear" w:color="auto" w:fill="FFFFFF"/>
        </w:rPr>
        <w:t>азпределението на медицинския персонал по общини е неравномерно</w:t>
      </w:r>
      <w:r>
        <w:rPr>
          <w:shd w:val="clear" w:color="auto" w:fill="FFFFFF"/>
        </w:rPr>
        <w:t>;</w:t>
      </w:r>
    </w:p>
    <w:p w:rsidR="00567DB5" w:rsidRPr="00E2216B" w:rsidRDefault="00481C40" w:rsidP="00481C40">
      <w:pPr>
        <w:pStyle w:val="Default"/>
        <w:numPr>
          <w:ilvl w:val="0"/>
          <w:numId w:val="23"/>
        </w:numPr>
        <w:spacing w:line="360" w:lineRule="auto"/>
        <w:jc w:val="both"/>
        <w:rPr>
          <w:shd w:val="clear" w:color="auto" w:fill="FFFFFF"/>
        </w:rPr>
      </w:pPr>
      <w:r>
        <w:rPr>
          <w:shd w:val="clear" w:color="auto" w:fill="FFFFFF"/>
        </w:rPr>
        <w:t>к</w:t>
      </w:r>
      <w:r w:rsidR="00567DB5" w:rsidRPr="00E2216B">
        <w:rPr>
          <w:shd w:val="clear" w:color="auto" w:fill="FFFFFF"/>
        </w:rPr>
        <w:t>ултурните дейности се характеризират със сравнително нисък интензитет</w:t>
      </w:r>
      <w:r>
        <w:rPr>
          <w:shd w:val="clear" w:color="auto" w:fill="FFFFFF"/>
        </w:rPr>
        <w:t>.</w:t>
      </w:r>
    </w:p>
    <w:p w:rsidR="00AA1225" w:rsidRPr="000B34BA" w:rsidRDefault="00AA1225" w:rsidP="00481C40">
      <w:pPr>
        <w:spacing w:after="0" w:line="360" w:lineRule="auto"/>
        <w:ind w:firstLine="680"/>
        <w:jc w:val="both"/>
        <w:rPr>
          <w:rFonts w:ascii="Times New Roman" w:eastAsia="Times New Roman" w:hAnsi="Times New Roman" w:cs="Times New Roman"/>
          <w:sz w:val="24"/>
          <w:szCs w:val="24"/>
          <w:lang w:eastAsia="bg-BG"/>
        </w:rPr>
      </w:pPr>
      <w:r w:rsidRPr="000B34BA">
        <w:rPr>
          <w:rFonts w:ascii="Times New Roman" w:eastAsia="Times New Roman" w:hAnsi="Times New Roman" w:cs="Times New Roman"/>
          <w:sz w:val="24"/>
          <w:szCs w:val="24"/>
          <w:lang w:eastAsia="bg-BG"/>
        </w:rPr>
        <w:t xml:space="preserve"> </w:t>
      </w:r>
    </w:p>
    <w:p w:rsidR="00AA1225" w:rsidRDefault="00AA1225"/>
    <w:p w:rsidR="003D760C" w:rsidRDefault="003D760C"/>
    <w:p w:rsidR="003D760C" w:rsidRDefault="003D760C">
      <w:r>
        <w:br w:type="page"/>
      </w:r>
    </w:p>
    <w:p w:rsidR="003D760C" w:rsidRDefault="003D760C"/>
    <w:p w:rsidR="003D760C" w:rsidRPr="003D760C" w:rsidRDefault="003D760C" w:rsidP="003D760C">
      <w:pPr>
        <w:pStyle w:val="Heading1"/>
        <w:numPr>
          <w:ilvl w:val="0"/>
          <w:numId w:val="11"/>
        </w:numPr>
        <w:spacing w:before="0" w:after="120" w:line="240" w:lineRule="auto"/>
        <w:rPr>
          <w:rFonts w:eastAsia="Times New Roman"/>
        </w:rPr>
      </w:pPr>
      <w:bookmarkStart w:id="15" w:name="_Toc510702805"/>
      <w:r w:rsidRPr="003D760C">
        <w:rPr>
          <w:rFonts w:eastAsia="Times New Roman"/>
        </w:rPr>
        <w:t>Оценка на степента на постигане на цели</w:t>
      </w:r>
      <w:r w:rsidR="00D26CB5">
        <w:rPr>
          <w:rFonts w:eastAsia="Times New Roman"/>
        </w:rPr>
        <w:t>те на ОСР 2014-2020 г. на област Ловеч</w:t>
      </w:r>
      <w:bookmarkEnd w:id="15"/>
    </w:p>
    <w:p w:rsidR="00AA1225" w:rsidRPr="000B34BA" w:rsidRDefault="00AA1225" w:rsidP="000B34BA">
      <w:pPr>
        <w:spacing w:after="0" w:line="360" w:lineRule="auto"/>
        <w:ind w:firstLine="680"/>
        <w:jc w:val="both"/>
        <w:rPr>
          <w:rFonts w:ascii="Times New Roman" w:eastAsia="Times New Roman" w:hAnsi="Times New Roman" w:cs="Times New Roman"/>
          <w:sz w:val="24"/>
          <w:szCs w:val="24"/>
          <w:lang w:eastAsia="bg-BG"/>
        </w:rPr>
      </w:pPr>
    </w:p>
    <w:p w:rsidR="00BE25E4" w:rsidRPr="00851EDA" w:rsidRDefault="00BE25E4" w:rsidP="00851EDA">
      <w:pPr>
        <w:spacing w:after="0" w:line="360" w:lineRule="auto"/>
        <w:ind w:firstLine="708"/>
        <w:jc w:val="both"/>
        <w:rPr>
          <w:rFonts w:ascii="Times New Roman" w:eastAsia="Calibri" w:hAnsi="Times New Roman" w:cs="Times New Roman"/>
          <w:b/>
          <w:i/>
          <w:color w:val="365F91" w:themeColor="accent1" w:themeShade="BF"/>
          <w:sz w:val="24"/>
          <w:szCs w:val="24"/>
        </w:rPr>
      </w:pPr>
      <w:r w:rsidRPr="00851EDA">
        <w:rPr>
          <w:rFonts w:ascii="Times New Roman" w:eastAsia="Calibri" w:hAnsi="Times New Roman" w:cs="Times New Roman"/>
          <w:b/>
          <w:i/>
          <w:color w:val="365F91" w:themeColor="accent1" w:themeShade="BF"/>
          <w:sz w:val="24"/>
          <w:szCs w:val="24"/>
        </w:rPr>
        <w:t xml:space="preserve">Стратегическа рамка </w:t>
      </w:r>
    </w:p>
    <w:p w:rsidR="00BE25E4" w:rsidRPr="00EF39AF" w:rsidRDefault="004014E4" w:rsidP="00EF39AF">
      <w:pPr>
        <w:spacing w:after="0" w:line="360" w:lineRule="auto"/>
        <w:ind w:firstLine="680"/>
        <w:jc w:val="both"/>
        <w:rPr>
          <w:rFonts w:ascii="Times New Roman" w:eastAsia="Times New Roman" w:hAnsi="Times New Roman" w:cs="Times New Roman"/>
          <w:sz w:val="24"/>
          <w:szCs w:val="24"/>
          <w:lang w:eastAsia="bg-BG"/>
        </w:rPr>
      </w:pPr>
      <w:r w:rsidRPr="00EF39AF">
        <w:rPr>
          <w:rFonts w:ascii="Times New Roman" w:eastAsia="Times New Roman" w:hAnsi="Times New Roman" w:cs="Times New Roman"/>
          <w:sz w:val="24"/>
          <w:szCs w:val="24"/>
          <w:lang w:eastAsia="bg-BG"/>
        </w:rPr>
        <w:t>Стратегическата част на ОСР 2014-2020 г. на област Ловеч е разработена в контекста на актуалното социално-икономическо състояние на областта и в съответствие със стратегическата ориентация на регионалната политика в Европейския съюз и националните цели и приоритети за регионално развитие.</w:t>
      </w:r>
    </w:p>
    <w:p w:rsidR="00A34CDB" w:rsidRPr="00EF39AF" w:rsidRDefault="00A34CDB" w:rsidP="00EF39AF">
      <w:pPr>
        <w:spacing w:after="0" w:line="360" w:lineRule="auto"/>
        <w:ind w:firstLine="680"/>
        <w:jc w:val="both"/>
        <w:rPr>
          <w:rFonts w:ascii="Times New Roman" w:eastAsia="Times New Roman" w:hAnsi="Times New Roman" w:cs="Times New Roman"/>
          <w:sz w:val="24"/>
          <w:szCs w:val="24"/>
          <w:lang w:eastAsia="bg-BG"/>
        </w:rPr>
      </w:pPr>
      <w:r w:rsidRPr="00EF39AF">
        <w:rPr>
          <w:rFonts w:ascii="Times New Roman" w:hAnsi="Times New Roman" w:cs="Times New Roman"/>
          <w:sz w:val="24"/>
          <w:szCs w:val="24"/>
        </w:rPr>
        <w:t>Визията, целите и приоритетите на Стратегията за развитие на област Ловеч (2014-2020) са съгласувани с Регионалния план за развитие на Северозападен район 2014-2020, Националната програма за развитие: България 2020 и отразяват изводите и препоръките, посочени в анализа на социално-икономическото развитие на Република България.</w:t>
      </w:r>
    </w:p>
    <w:p w:rsidR="004014E4" w:rsidRPr="00EF39AF" w:rsidRDefault="004014E4" w:rsidP="00EF39AF">
      <w:pPr>
        <w:spacing w:after="0" w:line="360" w:lineRule="auto"/>
        <w:ind w:firstLine="680"/>
        <w:jc w:val="both"/>
        <w:rPr>
          <w:rFonts w:ascii="Times New Roman" w:hAnsi="Times New Roman" w:cs="Times New Roman"/>
          <w:sz w:val="24"/>
          <w:szCs w:val="24"/>
        </w:rPr>
      </w:pPr>
      <w:r w:rsidRPr="00EF39AF">
        <w:rPr>
          <w:rFonts w:ascii="Times New Roman" w:hAnsi="Times New Roman" w:cs="Times New Roman"/>
          <w:sz w:val="24"/>
          <w:szCs w:val="24"/>
        </w:rPr>
        <w:t xml:space="preserve">Направеният социално-икономически анализ и разработеният SWOT анализ са основа за формулирането на </w:t>
      </w:r>
      <w:r w:rsidR="00800BE2" w:rsidRPr="00EF39AF">
        <w:rPr>
          <w:rFonts w:ascii="Times New Roman" w:hAnsi="Times New Roman" w:cs="Times New Roman"/>
          <w:sz w:val="24"/>
          <w:szCs w:val="24"/>
        </w:rPr>
        <w:t xml:space="preserve">следната </w:t>
      </w:r>
      <w:r w:rsidRPr="00EF39AF">
        <w:rPr>
          <w:rFonts w:ascii="Times New Roman" w:hAnsi="Times New Roman" w:cs="Times New Roman"/>
          <w:sz w:val="24"/>
          <w:szCs w:val="24"/>
        </w:rPr>
        <w:t xml:space="preserve">визията за развитие на област </w:t>
      </w:r>
      <w:r w:rsidR="00E86A02" w:rsidRPr="00EF39AF">
        <w:rPr>
          <w:rFonts w:ascii="Times New Roman" w:hAnsi="Times New Roman" w:cs="Times New Roman"/>
          <w:sz w:val="24"/>
          <w:szCs w:val="24"/>
        </w:rPr>
        <w:t>Ловеч</w:t>
      </w:r>
      <w:r w:rsidRPr="00EF39AF">
        <w:rPr>
          <w:rFonts w:ascii="Times New Roman" w:hAnsi="Times New Roman" w:cs="Times New Roman"/>
          <w:sz w:val="24"/>
          <w:szCs w:val="24"/>
        </w:rPr>
        <w:t xml:space="preserve"> с хоризонт 2020 г.</w:t>
      </w:r>
      <w:r w:rsidR="00800BE2" w:rsidRPr="00EF39AF">
        <w:rPr>
          <w:rFonts w:ascii="Times New Roman" w:hAnsi="Times New Roman" w:cs="Times New Roman"/>
          <w:sz w:val="24"/>
          <w:szCs w:val="24"/>
        </w:rPr>
        <w:t>:</w:t>
      </w:r>
    </w:p>
    <w:p w:rsidR="00A34CDB" w:rsidRPr="00EF39AF" w:rsidRDefault="00A34CDB" w:rsidP="004A2354">
      <w:pPr>
        <w:shd w:val="clear" w:color="auto" w:fill="DBE5F1" w:themeFill="accent1" w:themeFillTint="33"/>
        <w:spacing w:after="0" w:line="360" w:lineRule="auto"/>
        <w:ind w:firstLine="680"/>
        <w:jc w:val="center"/>
        <w:rPr>
          <w:rFonts w:ascii="Times New Roman" w:eastAsia="Times New Roman" w:hAnsi="Times New Roman" w:cs="Times New Roman"/>
          <w:b/>
          <w:sz w:val="24"/>
          <w:szCs w:val="24"/>
          <w:lang w:eastAsia="bg-BG"/>
        </w:rPr>
      </w:pPr>
      <w:r w:rsidRPr="00EF39AF">
        <w:rPr>
          <w:rFonts w:ascii="Times New Roman" w:eastAsia="Times New Roman" w:hAnsi="Times New Roman" w:cs="Times New Roman"/>
          <w:b/>
          <w:sz w:val="24"/>
          <w:szCs w:val="24"/>
          <w:lang w:eastAsia="bg-BG"/>
        </w:rPr>
        <w:t>Постигане на устойчиво развитие и просперитет на област Ловеч чрез подобрена конкурентоспособност и използване на местния потенциал</w:t>
      </w:r>
    </w:p>
    <w:p w:rsidR="00A34CDB" w:rsidRPr="00EF39AF" w:rsidRDefault="00A34CDB" w:rsidP="00EF39AF">
      <w:pPr>
        <w:spacing w:after="0" w:line="360" w:lineRule="auto"/>
        <w:ind w:firstLine="680"/>
        <w:jc w:val="both"/>
        <w:rPr>
          <w:rFonts w:ascii="Times New Roman" w:eastAsia="Times New Roman" w:hAnsi="Times New Roman" w:cs="Times New Roman"/>
          <w:sz w:val="24"/>
          <w:szCs w:val="24"/>
          <w:lang w:eastAsia="bg-BG"/>
        </w:rPr>
      </w:pPr>
      <w:r w:rsidRPr="004A2354">
        <w:rPr>
          <w:rFonts w:ascii="Times New Roman" w:eastAsia="Times New Roman" w:hAnsi="Times New Roman" w:cs="Times New Roman"/>
          <w:sz w:val="24"/>
          <w:szCs w:val="24"/>
          <w:lang w:eastAsia="bg-BG"/>
        </w:rPr>
        <w:t>Г</w:t>
      </w:r>
      <w:r w:rsidR="00B21E46" w:rsidRPr="004A2354">
        <w:rPr>
          <w:rFonts w:ascii="Times New Roman" w:eastAsia="Times New Roman" w:hAnsi="Times New Roman" w:cs="Times New Roman"/>
          <w:sz w:val="24"/>
          <w:szCs w:val="24"/>
          <w:lang w:eastAsia="bg-BG"/>
        </w:rPr>
        <w:t>лавна цел на ОСР на област Ловеч</w:t>
      </w:r>
      <w:r w:rsidR="00B21E46" w:rsidRPr="00EF39AF">
        <w:rPr>
          <w:rFonts w:ascii="Times New Roman" w:eastAsia="Times New Roman" w:hAnsi="Times New Roman" w:cs="Times New Roman"/>
          <w:sz w:val="24"/>
          <w:szCs w:val="24"/>
          <w:lang w:eastAsia="bg-BG"/>
        </w:rPr>
        <w:t xml:space="preserve"> е д</w:t>
      </w:r>
      <w:r w:rsidRPr="00EF39AF">
        <w:rPr>
          <w:rFonts w:ascii="Times New Roman" w:eastAsia="Times New Roman" w:hAnsi="Times New Roman" w:cs="Times New Roman"/>
          <w:sz w:val="24"/>
          <w:szCs w:val="24"/>
          <w:lang w:eastAsia="bg-BG"/>
        </w:rPr>
        <w:t>а се постигне висока степен на социално-икономическо развитие на област</w:t>
      </w:r>
      <w:r w:rsidR="006D0C68" w:rsidRPr="00EF39AF">
        <w:rPr>
          <w:rFonts w:ascii="Times New Roman" w:eastAsia="Times New Roman" w:hAnsi="Times New Roman" w:cs="Times New Roman"/>
          <w:sz w:val="24"/>
          <w:szCs w:val="24"/>
          <w:lang w:eastAsia="bg-BG"/>
        </w:rPr>
        <w:t>та</w:t>
      </w:r>
      <w:r w:rsidRPr="00EF39AF">
        <w:rPr>
          <w:rFonts w:ascii="Times New Roman" w:eastAsia="Times New Roman" w:hAnsi="Times New Roman" w:cs="Times New Roman"/>
          <w:sz w:val="24"/>
          <w:szCs w:val="24"/>
          <w:lang w:eastAsia="bg-BG"/>
        </w:rPr>
        <w:t xml:space="preserve"> в условията на устойчиво и балансирано развитие на районите в Република България</w:t>
      </w:r>
      <w:r w:rsidR="00862F22" w:rsidRPr="00EF39AF">
        <w:rPr>
          <w:rFonts w:ascii="Times New Roman" w:eastAsia="Times New Roman" w:hAnsi="Times New Roman" w:cs="Times New Roman"/>
          <w:sz w:val="24"/>
          <w:szCs w:val="24"/>
          <w:lang w:eastAsia="bg-BG"/>
        </w:rPr>
        <w:t>.</w:t>
      </w:r>
    </w:p>
    <w:p w:rsidR="00A34CDB" w:rsidRPr="00EF39AF" w:rsidRDefault="006D0C68" w:rsidP="00EF39AF">
      <w:pPr>
        <w:pStyle w:val="ListParagraph"/>
        <w:spacing w:after="0" w:line="360" w:lineRule="auto"/>
        <w:ind w:left="709"/>
        <w:contextualSpacing w:val="0"/>
        <w:jc w:val="both"/>
        <w:rPr>
          <w:rFonts w:ascii="Times New Roman" w:hAnsi="Times New Roman" w:cs="Times New Roman"/>
          <w:b/>
          <w:sz w:val="24"/>
          <w:szCs w:val="24"/>
        </w:rPr>
      </w:pPr>
      <w:r w:rsidRPr="00EF39AF">
        <w:rPr>
          <w:rFonts w:ascii="Times New Roman" w:hAnsi="Times New Roman" w:cs="Times New Roman"/>
          <w:b/>
          <w:sz w:val="24"/>
          <w:szCs w:val="24"/>
        </w:rPr>
        <w:t>Заложени са три стратегически  цели:</w:t>
      </w:r>
    </w:p>
    <w:p w:rsidR="00A34CDB" w:rsidRPr="00EF39AF" w:rsidRDefault="00A34CDB" w:rsidP="00F04271">
      <w:pPr>
        <w:pStyle w:val="ListParagraph"/>
        <w:widowControl w:val="0"/>
        <w:numPr>
          <w:ilvl w:val="0"/>
          <w:numId w:val="28"/>
        </w:numPr>
        <w:tabs>
          <w:tab w:val="left" w:pos="1418"/>
        </w:tabs>
        <w:autoSpaceDE w:val="0"/>
        <w:autoSpaceDN w:val="0"/>
        <w:adjustRightInd w:val="0"/>
        <w:spacing w:after="0" w:line="360" w:lineRule="auto"/>
        <w:ind w:left="1134"/>
        <w:contextualSpacing w:val="0"/>
        <w:jc w:val="both"/>
        <w:rPr>
          <w:rFonts w:ascii="Times New Roman" w:hAnsi="Times New Roman" w:cs="Times New Roman"/>
          <w:sz w:val="24"/>
          <w:szCs w:val="24"/>
        </w:rPr>
      </w:pPr>
      <w:r w:rsidRPr="00EF39AF">
        <w:rPr>
          <w:rFonts w:ascii="Times New Roman" w:hAnsi="Times New Roman" w:cs="Times New Roman"/>
          <w:sz w:val="24"/>
          <w:szCs w:val="24"/>
        </w:rPr>
        <w:t>Повишаване на териториалната свързаност и устойчивост за подобряване качеството на живот в област Ловеч.</w:t>
      </w:r>
    </w:p>
    <w:p w:rsidR="00A34CDB" w:rsidRPr="00EF39AF" w:rsidRDefault="00A34CDB" w:rsidP="00F04271">
      <w:pPr>
        <w:pStyle w:val="ListParagraph"/>
        <w:widowControl w:val="0"/>
        <w:numPr>
          <w:ilvl w:val="0"/>
          <w:numId w:val="28"/>
        </w:numPr>
        <w:tabs>
          <w:tab w:val="left" w:pos="1418"/>
        </w:tabs>
        <w:autoSpaceDE w:val="0"/>
        <w:autoSpaceDN w:val="0"/>
        <w:adjustRightInd w:val="0"/>
        <w:spacing w:after="0" w:line="360" w:lineRule="auto"/>
        <w:ind w:left="1134"/>
        <w:contextualSpacing w:val="0"/>
        <w:jc w:val="both"/>
        <w:rPr>
          <w:rFonts w:ascii="Times New Roman" w:hAnsi="Times New Roman" w:cs="Times New Roman"/>
          <w:sz w:val="24"/>
          <w:szCs w:val="24"/>
        </w:rPr>
      </w:pPr>
      <w:r w:rsidRPr="00EF39AF">
        <w:rPr>
          <w:rFonts w:ascii="Times New Roman" w:hAnsi="Times New Roman" w:cs="Times New Roman"/>
          <w:sz w:val="24"/>
          <w:szCs w:val="24"/>
        </w:rPr>
        <w:t>Развитие на човешкия капитал и местните общности.</w:t>
      </w:r>
    </w:p>
    <w:p w:rsidR="00A34CDB" w:rsidRPr="00EF39AF" w:rsidRDefault="00A34CDB" w:rsidP="00F04271">
      <w:pPr>
        <w:pStyle w:val="ListParagraph"/>
        <w:numPr>
          <w:ilvl w:val="0"/>
          <w:numId w:val="28"/>
        </w:numPr>
        <w:spacing w:after="0" w:line="360" w:lineRule="auto"/>
        <w:ind w:left="1134"/>
        <w:contextualSpacing w:val="0"/>
        <w:jc w:val="both"/>
        <w:rPr>
          <w:rFonts w:ascii="Times New Roman" w:hAnsi="Times New Roman" w:cs="Times New Roman"/>
          <w:sz w:val="24"/>
          <w:szCs w:val="24"/>
        </w:rPr>
      </w:pPr>
      <w:r w:rsidRPr="00EF39AF">
        <w:rPr>
          <w:rFonts w:ascii="Times New Roman" w:hAnsi="Times New Roman" w:cs="Times New Roman"/>
          <w:sz w:val="24"/>
          <w:szCs w:val="24"/>
        </w:rPr>
        <w:t>Устойчиво икономическо развитие и повишаване конкурентоспособността на местната икономика.</w:t>
      </w:r>
    </w:p>
    <w:p w:rsidR="00A34CDB" w:rsidRPr="00F04271" w:rsidRDefault="00EF39AF" w:rsidP="00F04271">
      <w:pPr>
        <w:spacing w:after="0" w:line="360" w:lineRule="auto"/>
        <w:ind w:firstLine="680"/>
        <w:jc w:val="both"/>
        <w:rPr>
          <w:rFonts w:ascii="Times New Roman" w:eastAsia="Times New Roman" w:hAnsi="Times New Roman" w:cs="Times New Roman"/>
          <w:sz w:val="24"/>
          <w:szCs w:val="24"/>
          <w:lang w:eastAsia="bg-BG"/>
        </w:rPr>
      </w:pPr>
      <w:r w:rsidRPr="00F04271">
        <w:rPr>
          <w:rFonts w:ascii="Times New Roman" w:eastAsia="Times New Roman" w:hAnsi="Times New Roman" w:cs="Times New Roman"/>
          <w:sz w:val="24"/>
          <w:szCs w:val="24"/>
          <w:lang w:eastAsia="bg-BG"/>
        </w:rPr>
        <w:t>За изпълнение на стратегическите цели са планирани 4 приоритет</w:t>
      </w:r>
      <w:r w:rsidR="00F04271">
        <w:rPr>
          <w:rFonts w:ascii="Times New Roman" w:eastAsia="Times New Roman" w:hAnsi="Times New Roman" w:cs="Times New Roman"/>
          <w:sz w:val="24"/>
          <w:szCs w:val="24"/>
          <w:lang w:eastAsia="bg-BG"/>
        </w:rPr>
        <w:t>а</w:t>
      </w:r>
      <w:r w:rsidRPr="00F04271">
        <w:rPr>
          <w:rFonts w:ascii="Times New Roman" w:eastAsia="Times New Roman" w:hAnsi="Times New Roman" w:cs="Times New Roman"/>
          <w:sz w:val="24"/>
          <w:szCs w:val="24"/>
          <w:lang w:eastAsia="bg-BG"/>
        </w:rPr>
        <w:t xml:space="preserve"> с 16 мерки за развитие</w:t>
      </w:r>
      <w:r w:rsidR="00F04271">
        <w:rPr>
          <w:rFonts w:ascii="Times New Roman" w:eastAsia="Times New Roman" w:hAnsi="Times New Roman" w:cs="Times New Roman"/>
          <w:sz w:val="24"/>
          <w:szCs w:val="24"/>
          <w:lang w:eastAsia="bg-BG"/>
        </w:rPr>
        <w:t>. П</w:t>
      </w:r>
      <w:r w:rsidR="00F04271" w:rsidRPr="00F04271">
        <w:rPr>
          <w:rFonts w:ascii="Times New Roman" w:eastAsia="Times New Roman" w:hAnsi="Times New Roman" w:cs="Times New Roman"/>
          <w:sz w:val="24"/>
          <w:szCs w:val="24"/>
          <w:lang w:eastAsia="bg-BG"/>
        </w:rPr>
        <w:t>р</w:t>
      </w:r>
      <w:r w:rsidR="00F04271">
        <w:rPr>
          <w:rFonts w:ascii="Times New Roman" w:eastAsia="Times New Roman" w:hAnsi="Times New Roman" w:cs="Times New Roman"/>
          <w:sz w:val="24"/>
          <w:szCs w:val="24"/>
          <w:lang w:eastAsia="bg-BG"/>
        </w:rPr>
        <w:t>иоритетите за развитие на област Л</w:t>
      </w:r>
      <w:r w:rsidR="00F04271" w:rsidRPr="00F04271">
        <w:rPr>
          <w:rFonts w:ascii="Times New Roman" w:eastAsia="Times New Roman" w:hAnsi="Times New Roman" w:cs="Times New Roman"/>
          <w:sz w:val="24"/>
          <w:szCs w:val="24"/>
          <w:lang w:eastAsia="bg-BG"/>
        </w:rPr>
        <w:t>овеч</w:t>
      </w:r>
      <w:r w:rsidR="00F04271">
        <w:rPr>
          <w:rFonts w:ascii="Times New Roman" w:eastAsia="Times New Roman" w:hAnsi="Times New Roman" w:cs="Times New Roman"/>
          <w:sz w:val="24"/>
          <w:szCs w:val="24"/>
          <w:lang w:eastAsia="bg-BG"/>
        </w:rPr>
        <w:t xml:space="preserve"> са:</w:t>
      </w:r>
    </w:p>
    <w:p w:rsidR="00A34CDB" w:rsidRPr="00F04271" w:rsidRDefault="00A34CDB" w:rsidP="00F04271">
      <w:pPr>
        <w:spacing w:after="0" w:line="360" w:lineRule="auto"/>
        <w:ind w:firstLine="680"/>
        <w:jc w:val="both"/>
        <w:rPr>
          <w:rFonts w:ascii="Times New Roman" w:eastAsia="Times New Roman" w:hAnsi="Times New Roman" w:cs="Times New Roman"/>
          <w:sz w:val="24"/>
          <w:szCs w:val="24"/>
          <w:lang w:eastAsia="bg-BG"/>
        </w:rPr>
      </w:pPr>
      <w:r w:rsidRPr="00F04271">
        <w:rPr>
          <w:rFonts w:ascii="Times New Roman" w:eastAsia="Times New Roman" w:hAnsi="Times New Roman" w:cs="Times New Roman"/>
          <w:sz w:val="24"/>
          <w:szCs w:val="24"/>
          <w:lang w:eastAsia="bg-BG"/>
        </w:rPr>
        <w:t>ПРИОРИТЕТ 1 Развитие и модернизация на инфраструктурата, създаваща условия за устойчиво развитие</w:t>
      </w:r>
    </w:p>
    <w:p w:rsidR="00A34CDB" w:rsidRPr="00F04271" w:rsidRDefault="00A34CDB" w:rsidP="00F04271">
      <w:pPr>
        <w:spacing w:after="0" w:line="360" w:lineRule="auto"/>
        <w:ind w:firstLine="680"/>
        <w:jc w:val="both"/>
        <w:rPr>
          <w:rFonts w:ascii="Times New Roman" w:eastAsia="Times New Roman" w:hAnsi="Times New Roman" w:cs="Times New Roman"/>
          <w:sz w:val="24"/>
          <w:szCs w:val="24"/>
          <w:lang w:eastAsia="bg-BG"/>
        </w:rPr>
      </w:pPr>
      <w:r w:rsidRPr="00F04271">
        <w:rPr>
          <w:rFonts w:ascii="Times New Roman" w:eastAsia="Times New Roman" w:hAnsi="Times New Roman" w:cs="Times New Roman"/>
          <w:sz w:val="24"/>
          <w:szCs w:val="24"/>
          <w:lang w:eastAsia="bg-BG"/>
        </w:rPr>
        <w:t xml:space="preserve">ПРИОРИТЕТ 2  Развитие на човешкия капитал и местните общности </w:t>
      </w:r>
    </w:p>
    <w:p w:rsidR="00A34CDB" w:rsidRPr="00F04271" w:rsidRDefault="00A34CDB" w:rsidP="00F04271">
      <w:pPr>
        <w:spacing w:after="0" w:line="360" w:lineRule="auto"/>
        <w:ind w:firstLine="680"/>
        <w:jc w:val="both"/>
        <w:rPr>
          <w:rFonts w:ascii="Times New Roman" w:eastAsia="Times New Roman" w:hAnsi="Times New Roman" w:cs="Times New Roman"/>
          <w:sz w:val="24"/>
          <w:szCs w:val="24"/>
          <w:lang w:eastAsia="bg-BG"/>
        </w:rPr>
      </w:pPr>
      <w:r w:rsidRPr="00F04271">
        <w:rPr>
          <w:rFonts w:ascii="Times New Roman" w:eastAsia="Times New Roman" w:hAnsi="Times New Roman" w:cs="Times New Roman"/>
          <w:sz w:val="24"/>
          <w:szCs w:val="24"/>
          <w:lang w:eastAsia="bg-BG"/>
        </w:rPr>
        <w:t>ПРИОРИТЕТ 3 Повишаване на конкурентоспособността на местната икономика за постигане на икономически растеж и заетост</w:t>
      </w:r>
    </w:p>
    <w:p w:rsidR="00A34CDB" w:rsidRPr="00F04271" w:rsidRDefault="00A34CDB" w:rsidP="00F04271">
      <w:pPr>
        <w:spacing w:after="0" w:line="360" w:lineRule="auto"/>
        <w:ind w:firstLine="680"/>
        <w:jc w:val="both"/>
        <w:rPr>
          <w:rFonts w:ascii="Times New Roman" w:eastAsia="Times New Roman" w:hAnsi="Times New Roman" w:cs="Times New Roman"/>
          <w:sz w:val="24"/>
          <w:szCs w:val="24"/>
          <w:lang w:eastAsia="bg-BG"/>
        </w:rPr>
      </w:pPr>
      <w:r w:rsidRPr="00F04271">
        <w:rPr>
          <w:rFonts w:ascii="Times New Roman" w:eastAsia="Times New Roman" w:hAnsi="Times New Roman" w:cs="Times New Roman"/>
          <w:sz w:val="24"/>
          <w:szCs w:val="24"/>
          <w:lang w:eastAsia="bg-BG"/>
        </w:rPr>
        <w:t>ПРИОРИТЕТ 4 Устойчиво развитие на конкурентоспособно селско и горско стопанство</w:t>
      </w:r>
    </w:p>
    <w:p w:rsidR="004014E4" w:rsidRPr="000B34BA" w:rsidRDefault="004014E4" w:rsidP="008E00BC">
      <w:pPr>
        <w:spacing w:after="0" w:line="360" w:lineRule="auto"/>
        <w:ind w:firstLine="680"/>
        <w:jc w:val="both"/>
        <w:rPr>
          <w:rFonts w:ascii="Times New Roman" w:eastAsia="Times New Roman" w:hAnsi="Times New Roman" w:cs="Times New Roman"/>
          <w:sz w:val="24"/>
          <w:szCs w:val="24"/>
          <w:lang w:eastAsia="bg-BG"/>
        </w:rPr>
      </w:pPr>
    </w:p>
    <w:p w:rsidR="000B34BA" w:rsidRPr="000B34BA" w:rsidRDefault="000B34BA" w:rsidP="000B34BA">
      <w:pPr>
        <w:spacing w:after="0" w:line="360" w:lineRule="auto"/>
        <w:ind w:firstLine="708"/>
        <w:jc w:val="both"/>
        <w:rPr>
          <w:rFonts w:ascii="Times New Roman" w:eastAsia="Calibri" w:hAnsi="Times New Roman" w:cs="Times New Roman"/>
          <w:b/>
          <w:i/>
          <w:color w:val="365F91" w:themeColor="accent1" w:themeShade="BF"/>
          <w:sz w:val="24"/>
          <w:szCs w:val="24"/>
        </w:rPr>
      </w:pPr>
      <w:r w:rsidRPr="000B34BA">
        <w:rPr>
          <w:rFonts w:ascii="Times New Roman" w:eastAsia="Calibri" w:hAnsi="Times New Roman" w:cs="Times New Roman"/>
          <w:b/>
          <w:i/>
          <w:color w:val="365F91" w:themeColor="accent1" w:themeShade="BF"/>
          <w:sz w:val="24"/>
          <w:szCs w:val="24"/>
        </w:rPr>
        <w:t>Подход за оценка</w:t>
      </w:r>
    </w:p>
    <w:p w:rsidR="000B34BA" w:rsidRPr="000B34BA" w:rsidRDefault="000B34BA" w:rsidP="000B34BA">
      <w:pPr>
        <w:spacing w:after="0" w:line="360" w:lineRule="auto"/>
        <w:ind w:firstLine="680"/>
        <w:jc w:val="both"/>
        <w:rPr>
          <w:rFonts w:ascii="Times New Roman" w:eastAsia="Times New Roman" w:hAnsi="Times New Roman" w:cs="Times New Roman"/>
          <w:sz w:val="24"/>
          <w:szCs w:val="24"/>
          <w:lang w:eastAsia="bg-BG"/>
        </w:rPr>
      </w:pPr>
      <w:r w:rsidRPr="000B34BA">
        <w:rPr>
          <w:rFonts w:ascii="Times New Roman" w:eastAsia="Times New Roman" w:hAnsi="Times New Roman" w:cs="Times New Roman"/>
          <w:sz w:val="24"/>
          <w:szCs w:val="24"/>
          <w:lang w:eastAsia="bg-BG"/>
        </w:rPr>
        <w:t xml:space="preserve">Постигнатият напредък </w:t>
      </w:r>
      <w:r w:rsidR="00247D11">
        <w:rPr>
          <w:rFonts w:ascii="Times New Roman" w:eastAsia="Times New Roman" w:hAnsi="Times New Roman" w:cs="Times New Roman"/>
          <w:sz w:val="24"/>
          <w:szCs w:val="24"/>
          <w:lang w:eastAsia="bg-BG"/>
        </w:rPr>
        <w:t>и степента на</w:t>
      </w:r>
      <w:r w:rsidRPr="000B34BA">
        <w:rPr>
          <w:rFonts w:ascii="Times New Roman" w:eastAsia="Times New Roman" w:hAnsi="Times New Roman" w:cs="Times New Roman"/>
          <w:sz w:val="24"/>
          <w:szCs w:val="24"/>
          <w:lang w:eastAsia="bg-BG"/>
        </w:rPr>
        <w:t xml:space="preserve"> изпълнението на целите и приоритетите за развитие на областта през изтеклия период 2014-2016 </w:t>
      </w:r>
      <w:r w:rsidR="00247D11">
        <w:rPr>
          <w:rFonts w:ascii="Times New Roman" w:eastAsia="Times New Roman" w:hAnsi="Times New Roman" w:cs="Times New Roman"/>
          <w:sz w:val="24"/>
          <w:szCs w:val="24"/>
          <w:lang w:eastAsia="bg-BG"/>
        </w:rPr>
        <w:t>са</w:t>
      </w:r>
      <w:r w:rsidRPr="000B34BA">
        <w:rPr>
          <w:rFonts w:ascii="Times New Roman" w:eastAsia="Times New Roman" w:hAnsi="Times New Roman" w:cs="Times New Roman"/>
          <w:sz w:val="24"/>
          <w:szCs w:val="24"/>
          <w:lang w:eastAsia="bg-BG"/>
        </w:rPr>
        <w:t xml:space="preserve"> представен</w:t>
      </w:r>
      <w:r w:rsidR="00247D11">
        <w:rPr>
          <w:rFonts w:ascii="Times New Roman" w:eastAsia="Times New Roman" w:hAnsi="Times New Roman" w:cs="Times New Roman"/>
          <w:sz w:val="24"/>
          <w:szCs w:val="24"/>
          <w:lang w:eastAsia="bg-BG"/>
        </w:rPr>
        <w:t>и</w:t>
      </w:r>
      <w:r w:rsidRPr="000B34BA">
        <w:rPr>
          <w:rFonts w:ascii="Times New Roman" w:eastAsia="Times New Roman" w:hAnsi="Times New Roman" w:cs="Times New Roman"/>
          <w:sz w:val="24"/>
          <w:szCs w:val="24"/>
          <w:lang w:eastAsia="bg-BG"/>
        </w:rPr>
        <w:t xml:space="preserve"> чрез реализираните проекти и дейности на областна администрация Ловеч и администрациите на общините в рамките на областта на ниво „мярка</w:t>
      </w:r>
      <w:r w:rsidR="0022382A">
        <w:rPr>
          <w:rFonts w:ascii="Times New Roman" w:eastAsia="Times New Roman" w:hAnsi="Times New Roman" w:cs="Times New Roman"/>
          <w:sz w:val="24"/>
          <w:szCs w:val="24"/>
          <w:lang w:eastAsia="bg-BG"/>
        </w:rPr>
        <w:t xml:space="preserve"> за развитие</w:t>
      </w:r>
      <w:r w:rsidRPr="000B34BA">
        <w:rPr>
          <w:rFonts w:ascii="Times New Roman" w:eastAsia="Times New Roman" w:hAnsi="Times New Roman" w:cs="Times New Roman"/>
          <w:sz w:val="24"/>
          <w:szCs w:val="24"/>
          <w:lang w:eastAsia="bg-BG"/>
        </w:rPr>
        <w:t>”.</w:t>
      </w:r>
    </w:p>
    <w:p w:rsidR="000B34BA" w:rsidRPr="000B34BA" w:rsidRDefault="000B34BA" w:rsidP="000B34BA">
      <w:pPr>
        <w:spacing w:after="0" w:line="360" w:lineRule="auto"/>
        <w:ind w:firstLine="680"/>
        <w:jc w:val="both"/>
        <w:rPr>
          <w:rFonts w:ascii="Times New Roman" w:eastAsia="Times New Roman" w:hAnsi="Times New Roman" w:cs="Times New Roman"/>
          <w:sz w:val="24"/>
          <w:szCs w:val="24"/>
          <w:lang w:eastAsia="bg-BG"/>
        </w:rPr>
      </w:pPr>
      <w:r w:rsidRPr="000B34BA">
        <w:rPr>
          <w:rFonts w:ascii="Times New Roman" w:eastAsia="Times New Roman" w:hAnsi="Times New Roman" w:cs="Times New Roman"/>
          <w:sz w:val="24"/>
          <w:szCs w:val="24"/>
          <w:lang w:eastAsia="bg-BG"/>
        </w:rPr>
        <w:t>Като източници на информация са използвани предоставени от Областна администрация Ловеч справки с изпълнени общински проекти за периода 2014-2016 г., секторни програми за местно развитие и техни отчети, годишни доклади за изпълнение на ОПР, междинни оценки за изпълнение на ОПР, други справки и доклади, ИСУН, публични бази данни.</w:t>
      </w:r>
    </w:p>
    <w:p w:rsidR="000B34BA" w:rsidRPr="000B34BA" w:rsidRDefault="000B34BA" w:rsidP="000B34BA">
      <w:pPr>
        <w:spacing w:after="0" w:line="360" w:lineRule="auto"/>
        <w:ind w:firstLine="680"/>
        <w:jc w:val="both"/>
        <w:rPr>
          <w:rFonts w:ascii="Times New Roman" w:eastAsia="Times New Roman" w:hAnsi="Times New Roman" w:cs="Times New Roman"/>
          <w:sz w:val="24"/>
          <w:szCs w:val="24"/>
          <w:lang w:eastAsia="bg-BG"/>
        </w:rPr>
      </w:pPr>
      <w:r w:rsidRPr="000B34BA">
        <w:rPr>
          <w:rFonts w:ascii="Times New Roman" w:eastAsia="Times New Roman" w:hAnsi="Times New Roman" w:cs="Times New Roman"/>
          <w:sz w:val="24"/>
          <w:szCs w:val="24"/>
          <w:lang w:eastAsia="bg-BG"/>
        </w:rPr>
        <w:t>В Приложение 1 към настоящия доклад подробно е представено изпълнението на стратегическата рамка на ниво стратегически цели, приоритети, мерки на ОСР на област Ловеч за периода 2014-2016г. Отразени са резултатите от наблюдението и оценката на изпълнението на общинските планове за развитие.</w:t>
      </w:r>
    </w:p>
    <w:p w:rsidR="000B34BA" w:rsidRPr="000B34BA" w:rsidRDefault="000B34BA" w:rsidP="000B34BA">
      <w:pPr>
        <w:spacing w:after="0" w:line="360" w:lineRule="auto"/>
        <w:ind w:firstLine="680"/>
        <w:jc w:val="both"/>
        <w:rPr>
          <w:rFonts w:ascii="Times New Roman" w:eastAsia="Times New Roman" w:hAnsi="Times New Roman" w:cs="Times New Roman"/>
          <w:sz w:val="24"/>
          <w:szCs w:val="24"/>
          <w:lang w:eastAsia="bg-BG"/>
        </w:rPr>
      </w:pPr>
      <w:r w:rsidRPr="000B34BA">
        <w:rPr>
          <w:rFonts w:ascii="Times New Roman" w:eastAsia="Times New Roman" w:hAnsi="Times New Roman" w:cs="Times New Roman"/>
          <w:sz w:val="24"/>
          <w:szCs w:val="24"/>
          <w:lang w:eastAsia="bg-BG"/>
        </w:rPr>
        <w:t xml:space="preserve">На база изпълнението на дейностите по мерките за развитие в </w:t>
      </w:r>
      <w:r w:rsidR="0022382A">
        <w:rPr>
          <w:rFonts w:ascii="Times New Roman" w:eastAsia="Times New Roman" w:hAnsi="Times New Roman" w:cs="Times New Roman"/>
          <w:sz w:val="24"/>
          <w:szCs w:val="24"/>
          <w:lang w:eastAsia="bg-BG"/>
        </w:rPr>
        <w:t>областната стратегия</w:t>
      </w:r>
      <w:r w:rsidRPr="000B34BA">
        <w:rPr>
          <w:rFonts w:ascii="Times New Roman" w:eastAsia="Times New Roman" w:hAnsi="Times New Roman" w:cs="Times New Roman"/>
          <w:sz w:val="24"/>
          <w:szCs w:val="24"/>
          <w:lang w:eastAsia="bg-BG"/>
        </w:rPr>
        <w:t xml:space="preserve">, екипът на „Географика“ ООД прави оценка на степента на постигане на целите на ОСР на област Ловеч за периода 2014-2016 г. в три нива – ниско, средно и високо ниво на изпълнение, като прилага следния оценъчен подход:  </w:t>
      </w:r>
    </w:p>
    <w:p w:rsidR="000B34BA" w:rsidRPr="008B58CA" w:rsidRDefault="000B34BA" w:rsidP="000B34BA">
      <w:pPr>
        <w:pStyle w:val="ListParagraph"/>
        <w:numPr>
          <w:ilvl w:val="0"/>
          <w:numId w:val="15"/>
        </w:numPr>
        <w:spacing w:after="0" w:line="360" w:lineRule="auto"/>
        <w:contextualSpacing w:val="0"/>
        <w:jc w:val="both"/>
        <w:rPr>
          <w:rFonts w:ascii="Times New Roman" w:hAnsi="Times New Roman" w:cs="Times New Roman"/>
          <w:sz w:val="24"/>
          <w:szCs w:val="24"/>
        </w:rPr>
      </w:pPr>
      <w:r w:rsidRPr="008B58CA">
        <w:rPr>
          <w:rFonts w:ascii="Times New Roman" w:hAnsi="Times New Roman" w:cs="Times New Roman"/>
          <w:sz w:val="24"/>
          <w:szCs w:val="24"/>
        </w:rPr>
        <w:t xml:space="preserve">За </w:t>
      </w:r>
      <w:r w:rsidRPr="0022382A">
        <w:rPr>
          <w:rFonts w:ascii="Times New Roman" w:hAnsi="Times New Roman" w:cs="Times New Roman"/>
          <w:sz w:val="24"/>
          <w:szCs w:val="24"/>
          <w:u w:val="single"/>
        </w:rPr>
        <w:t>високо ниво на изпълнение</w:t>
      </w:r>
      <w:r w:rsidRPr="008B58CA">
        <w:rPr>
          <w:rFonts w:ascii="Times New Roman" w:hAnsi="Times New Roman" w:cs="Times New Roman"/>
          <w:sz w:val="24"/>
          <w:szCs w:val="24"/>
        </w:rPr>
        <w:t xml:space="preserve"> екипът приема мярка, по която са реализирани или в процес на реализация повече от половината </w:t>
      </w:r>
      <w:r>
        <w:rPr>
          <w:rFonts w:ascii="Times New Roman" w:hAnsi="Times New Roman" w:cs="Times New Roman"/>
          <w:sz w:val="24"/>
          <w:szCs w:val="24"/>
        </w:rPr>
        <w:t>планирани дейности;</w:t>
      </w:r>
    </w:p>
    <w:p w:rsidR="000B34BA" w:rsidRPr="008B58CA" w:rsidRDefault="000B34BA" w:rsidP="000B34BA">
      <w:pPr>
        <w:pStyle w:val="ListParagraph"/>
        <w:numPr>
          <w:ilvl w:val="0"/>
          <w:numId w:val="15"/>
        </w:numPr>
        <w:spacing w:after="0" w:line="360" w:lineRule="auto"/>
        <w:contextualSpacing w:val="0"/>
        <w:jc w:val="both"/>
        <w:rPr>
          <w:rFonts w:ascii="Times New Roman" w:hAnsi="Times New Roman" w:cs="Times New Roman"/>
          <w:sz w:val="24"/>
          <w:szCs w:val="24"/>
        </w:rPr>
      </w:pPr>
      <w:r w:rsidRPr="008B58CA">
        <w:rPr>
          <w:rFonts w:ascii="Times New Roman" w:hAnsi="Times New Roman" w:cs="Times New Roman"/>
          <w:sz w:val="24"/>
          <w:szCs w:val="24"/>
        </w:rPr>
        <w:t xml:space="preserve">За </w:t>
      </w:r>
      <w:r w:rsidRPr="0022382A">
        <w:rPr>
          <w:rFonts w:ascii="Times New Roman" w:hAnsi="Times New Roman" w:cs="Times New Roman"/>
          <w:sz w:val="24"/>
          <w:szCs w:val="24"/>
          <w:u w:val="single"/>
        </w:rPr>
        <w:t>средно ниво на изпълнение</w:t>
      </w:r>
      <w:r w:rsidRPr="008B58CA">
        <w:rPr>
          <w:rFonts w:ascii="Times New Roman" w:hAnsi="Times New Roman" w:cs="Times New Roman"/>
          <w:sz w:val="24"/>
          <w:szCs w:val="24"/>
        </w:rPr>
        <w:t xml:space="preserve"> екипът приема мярка, по която са реализирани или в процес на реализация от една до пол</w:t>
      </w:r>
      <w:r>
        <w:rPr>
          <w:rFonts w:ascii="Times New Roman" w:hAnsi="Times New Roman" w:cs="Times New Roman"/>
          <w:sz w:val="24"/>
          <w:szCs w:val="24"/>
        </w:rPr>
        <w:t>овината от планираните дейности;</w:t>
      </w:r>
    </w:p>
    <w:p w:rsidR="000B34BA" w:rsidRPr="008B58CA" w:rsidRDefault="000B34BA" w:rsidP="000B34BA">
      <w:pPr>
        <w:pStyle w:val="ListParagraph"/>
        <w:numPr>
          <w:ilvl w:val="0"/>
          <w:numId w:val="15"/>
        </w:numPr>
        <w:spacing w:after="0" w:line="360" w:lineRule="auto"/>
        <w:contextualSpacing w:val="0"/>
        <w:jc w:val="both"/>
        <w:rPr>
          <w:rFonts w:ascii="Times New Roman" w:hAnsi="Times New Roman" w:cs="Times New Roman"/>
          <w:sz w:val="24"/>
          <w:szCs w:val="24"/>
        </w:rPr>
      </w:pPr>
      <w:r w:rsidRPr="008B58CA">
        <w:rPr>
          <w:rFonts w:ascii="Times New Roman" w:hAnsi="Times New Roman" w:cs="Times New Roman"/>
          <w:sz w:val="24"/>
          <w:szCs w:val="24"/>
        </w:rPr>
        <w:t xml:space="preserve">За </w:t>
      </w:r>
      <w:r w:rsidRPr="0022382A">
        <w:rPr>
          <w:rFonts w:ascii="Times New Roman" w:hAnsi="Times New Roman" w:cs="Times New Roman"/>
          <w:sz w:val="24"/>
          <w:szCs w:val="24"/>
          <w:u w:val="single"/>
        </w:rPr>
        <w:t>ниско ниво на изпълнение</w:t>
      </w:r>
      <w:r w:rsidRPr="008B58CA">
        <w:rPr>
          <w:rFonts w:ascii="Times New Roman" w:hAnsi="Times New Roman" w:cs="Times New Roman"/>
          <w:sz w:val="24"/>
          <w:szCs w:val="24"/>
        </w:rPr>
        <w:t xml:space="preserve"> екипът приема мярка, по която не са реализирани или в процес на реализация нито една от планирани</w:t>
      </w:r>
      <w:r w:rsidR="00247D11">
        <w:rPr>
          <w:rFonts w:ascii="Times New Roman" w:hAnsi="Times New Roman" w:cs="Times New Roman"/>
          <w:sz w:val="24"/>
          <w:szCs w:val="24"/>
        </w:rPr>
        <w:t>те</w:t>
      </w:r>
      <w:r w:rsidRPr="008B58CA">
        <w:rPr>
          <w:rFonts w:ascii="Times New Roman" w:hAnsi="Times New Roman" w:cs="Times New Roman"/>
          <w:sz w:val="24"/>
          <w:szCs w:val="24"/>
        </w:rPr>
        <w:t xml:space="preserve"> дейности</w:t>
      </w:r>
      <w:r>
        <w:rPr>
          <w:rFonts w:ascii="Times New Roman" w:hAnsi="Times New Roman" w:cs="Times New Roman"/>
          <w:sz w:val="24"/>
          <w:szCs w:val="24"/>
        </w:rPr>
        <w:t>.</w:t>
      </w:r>
    </w:p>
    <w:p w:rsidR="000B34BA" w:rsidRPr="0022382A" w:rsidRDefault="000B34BA" w:rsidP="0022382A">
      <w:pPr>
        <w:spacing w:after="0" w:line="360" w:lineRule="auto"/>
        <w:ind w:firstLine="680"/>
        <w:jc w:val="both"/>
        <w:rPr>
          <w:rFonts w:ascii="Times New Roman" w:eastAsia="Times New Roman" w:hAnsi="Times New Roman" w:cs="Times New Roman"/>
          <w:sz w:val="24"/>
          <w:szCs w:val="24"/>
          <w:lang w:eastAsia="bg-BG"/>
        </w:rPr>
      </w:pPr>
    </w:p>
    <w:p w:rsidR="0022382A" w:rsidRPr="0022382A" w:rsidRDefault="0022382A" w:rsidP="0022382A">
      <w:pPr>
        <w:spacing w:after="0" w:line="360" w:lineRule="auto"/>
        <w:ind w:firstLine="708"/>
        <w:jc w:val="both"/>
        <w:rPr>
          <w:rFonts w:ascii="Times New Roman" w:eastAsia="Calibri" w:hAnsi="Times New Roman" w:cs="Times New Roman"/>
          <w:b/>
          <w:i/>
          <w:color w:val="365F91" w:themeColor="accent1" w:themeShade="BF"/>
          <w:sz w:val="24"/>
          <w:szCs w:val="24"/>
        </w:rPr>
      </w:pPr>
      <w:r w:rsidRPr="0022382A">
        <w:rPr>
          <w:rFonts w:ascii="Times New Roman" w:eastAsia="Calibri" w:hAnsi="Times New Roman" w:cs="Times New Roman"/>
          <w:b/>
          <w:i/>
          <w:color w:val="365F91" w:themeColor="accent1" w:themeShade="BF"/>
          <w:sz w:val="24"/>
          <w:szCs w:val="24"/>
        </w:rPr>
        <w:t>Оценка на степента на постигане на целите</w:t>
      </w:r>
    </w:p>
    <w:p w:rsidR="00AA3127" w:rsidRPr="001D283C" w:rsidRDefault="00AA3127" w:rsidP="001D283C">
      <w:pPr>
        <w:spacing w:after="0" w:line="360" w:lineRule="auto"/>
        <w:ind w:firstLine="680"/>
        <w:jc w:val="both"/>
        <w:rPr>
          <w:rFonts w:ascii="Times New Roman" w:eastAsia="Times New Roman" w:hAnsi="Times New Roman" w:cs="Times New Roman"/>
          <w:sz w:val="24"/>
          <w:szCs w:val="24"/>
          <w:lang w:eastAsia="bg-BG"/>
        </w:rPr>
      </w:pPr>
      <w:r w:rsidRPr="001D283C">
        <w:rPr>
          <w:rFonts w:ascii="Times New Roman" w:eastAsia="Times New Roman" w:hAnsi="Times New Roman" w:cs="Times New Roman"/>
          <w:sz w:val="24"/>
          <w:szCs w:val="24"/>
          <w:lang w:eastAsia="bg-BG"/>
        </w:rPr>
        <w:t>Степента на постигане на целите на ОСР на област Ловеч за периода 2014-2016 г. може да се оцени като много висока.</w:t>
      </w:r>
    </w:p>
    <w:p w:rsidR="00AA3127" w:rsidRPr="001D283C" w:rsidRDefault="00AA3127" w:rsidP="001D283C">
      <w:pPr>
        <w:spacing w:after="0" w:line="360" w:lineRule="auto"/>
        <w:ind w:firstLine="680"/>
        <w:jc w:val="both"/>
        <w:rPr>
          <w:rFonts w:ascii="Times New Roman" w:eastAsia="Times New Roman" w:hAnsi="Times New Roman" w:cs="Times New Roman"/>
          <w:sz w:val="24"/>
          <w:szCs w:val="24"/>
          <w:lang w:eastAsia="bg-BG"/>
        </w:rPr>
      </w:pPr>
      <w:r w:rsidRPr="001D283C">
        <w:rPr>
          <w:rFonts w:ascii="Times New Roman" w:eastAsia="Times New Roman" w:hAnsi="Times New Roman" w:cs="Times New Roman"/>
          <w:sz w:val="24"/>
          <w:szCs w:val="24"/>
          <w:lang w:eastAsia="bg-BG"/>
        </w:rPr>
        <w:t xml:space="preserve">В най-голяма степен е изпълнена Стратегическа цел 2 </w:t>
      </w:r>
      <w:r w:rsidR="008E00BC">
        <w:rPr>
          <w:rFonts w:ascii="Times New Roman" w:hAnsi="Times New Roman" w:cs="Times New Roman"/>
          <w:sz w:val="24"/>
          <w:szCs w:val="24"/>
        </w:rPr>
        <w:t>Развитие на човешкия капитал и местните общности</w:t>
      </w:r>
      <w:r w:rsidRPr="001D283C">
        <w:rPr>
          <w:rFonts w:ascii="Times New Roman" w:eastAsia="Times New Roman" w:hAnsi="Times New Roman" w:cs="Times New Roman"/>
          <w:sz w:val="24"/>
          <w:szCs w:val="24"/>
          <w:lang w:eastAsia="bg-BG"/>
        </w:rPr>
        <w:t>, при която се наблюдава високо ниво на изпълнение на всички мерки за развитие.</w:t>
      </w:r>
    </w:p>
    <w:p w:rsidR="00AA3127" w:rsidRPr="001D283C" w:rsidRDefault="003973B8" w:rsidP="001D283C">
      <w:pPr>
        <w:spacing w:after="0" w:line="360" w:lineRule="auto"/>
        <w:ind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Високо</w:t>
      </w:r>
      <w:r w:rsidR="00AA3127" w:rsidRPr="001D283C">
        <w:rPr>
          <w:rFonts w:ascii="Times New Roman" w:eastAsia="Times New Roman" w:hAnsi="Times New Roman" w:cs="Times New Roman"/>
          <w:sz w:val="24"/>
          <w:szCs w:val="24"/>
          <w:lang w:eastAsia="bg-BG"/>
        </w:rPr>
        <w:t xml:space="preserve"> изпълнение има и Стратегическа цел 3 </w:t>
      </w:r>
      <w:r w:rsidR="008E00BC">
        <w:rPr>
          <w:rFonts w:ascii="Times New Roman" w:hAnsi="Times New Roman" w:cs="Times New Roman"/>
          <w:sz w:val="24"/>
          <w:szCs w:val="24"/>
        </w:rPr>
        <w:t>Устойчиво икономическо развитие и повишаване конкурентоспособността на местната икономика</w:t>
      </w:r>
      <w:r w:rsidR="00AA3127" w:rsidRPr="001D283C">
        <w:rPr>
          <w:rFonts w:ascii="Times New Roman" w:eastAsia="Times New Roman" w:hAnsi="Times New Roman" w:cs="Times New Roman"/>
          <w:sz w:val="24"/>
          <w:szCs w:val="24"/>
          <w:lang w:eastAsia="bg-BG"/>
        </w:rPr>
        <w:t>, при която 4 мерки са с високо ниво на изпълнение, 2 мерки са със средно ниво на изпълнение.</w:t>
      </w:r>
    </w:p>
    <w:p w:rsidR="00AA3127" w:rsidRDefault="00AA3127" w:rsidP="001D283C">
      <w:pPr>
        <w:spacing w:after="0" w:line="360" w:lineRule="auto"/>
        <w:ind w:firstLine="680"/>
        <w:jc w:val="both"/>
        <w:rPr>
          <w:rFonts w:ascii="Times New Roman" w:eastAsia="Times New Roman" w:hAnsi="Times New Roman" w:cs="Times New Roman"/>
          <w:sz w:val="24"/>
          <w:szCs w:val="24"/>
          <w:lang w:eastAsia="bg-BG"/>
        </w:rPr>
      </w:pPr>
      <w:r w:rsidRPr="001D283C">
        <w:rPr>
          <w:rFonts w:ascii="Times New Roman" w:eastAsia="Times New Roman" w:hAnsi="Times New Roman" w:cs="Times New Roman"/>
          <w:sz w:val="24"/>
          <w:szCs w:val="24"/>
          <w:lang w:eastAsia="bg-BG"/>
        </w:rPr>
        <w:t xml:space="preserve">Стратегическа цел 1 </w:t>
      </w:r>
      <w:r w:rsidR="008E00BC">
        <w:rPr>
          <w:rFonts w:ascii="Times New Roman" w:hAnsi="Times New Roman" w:cs="Times New Roman"/>
          <w:sz w:val="24"/>
          <w:szCs w:val="24"/>
        </w:rPr>
        <w:t>Повишаване на териториалната свързаност и устойчивост за подобряване качеството на живот в област Ловеч</w:t>
      </w:r>
      <w:r w:rsidRPr="001D283C">
        <w:rPr>
          <w:rFonts w:ascii="Times New Roman" w:eastAsia="Times New Roman" w:hAnsi="Times New Roman" w:cs="Times New Roman"/>
          <w:sz w:val="24"/>
          <w:szCs w:val="24"/>
          <w:lang w:eastAsia="bg-BG"/>
        </w:rPr>
        <w:t xml:space="preserve"> има заложени 5 мерки за развитие, от които за периода 2014-2016 г. две са с високо ниво на изпълнение, а три са със средно ниво на изпълнение</w:t>
      </w:r>
      <w:r w:rsidR="003973B8">
        <w:rPr>
          <w:rFonts w:ascii="Times New Roman" w:eastAsia="Times New Roman" w:hAnsi="Times New Roman" w:cs="Times New Roman"/>
          <w:sz w:val="24"/>
          <w:szCs w:val="24"/>
          <w:lang w:eastAsia="bg-BG"/>
        </w:rPr>
        <w:t>.</w:t>
      </w:r>
      <w:r w:rsidR="008E00BC">
        <w:rPr>
          <w:rFonts w:ascii="Times New Roman" w:eastAsia="Times New Roman" w:hAnsi="Times New Roman" w:cs="Times New Roman"/>
          <w:sz w:val="24"/>
          <w:szCs w:val="24"/>
          <w:lang w:eastAsia="bg-BG"/>
        </w:rPr>
        <w:t xml:space="preserve"> </w:t>
      </w:r>
    </w:p>
    <w:p w:rsidR="007C0E83" w:rsidRDefault="007C0E83" w:rsidP="0022382A">
      <w:pPr>
        <w:spacing w:after="0" w:line="360" w:lineRule="auto"/>
        <w:ind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таблицата по-долу е представена оценката на степента на </w:t>
      </w:r>
      <w:r w:rsidR="008C7033">
        <w:rPr>
          <w:rFonts w:ascii="Times New Roman" w:eastAsia="Times New Roman" w:hAnsi="Times New Roman" w:cs="Times New Roman"/>
          <w:sz w:val="24"/>
          <w:szCs w:val="24"/>
          <w:lang w:eastAsia="bg-BG"/>
        </w:rPr>
        <w:t>изпълнение</w:t>
      </w:r>
      <w:r>
        <w:rPr>
          <w:rFonts w:ascii="Times New Roman" w:eastAsia="Times New Roman" w:hAnsi="Times New Roman" w:cs="Times New Roman"/>
          <w:sz w:val="24"/>
          <w:szCs w:val="24"/>
          <w:lang w:eastAsia="bg-BG"/>
        </w:rPr>
        <w:t xml:space="preserve"> на мерките за развитие, заложени в стратегическата рамка на ОСР.</w:t>
      </w:r>
    </w:p>
    <w:p w:rsidR="00533A57" w:rsidRDefault="00533A57" w:rsidP="0022382A">
      <w:pPr>
        <w:spacing w:after="0" w:line="360" w:lineRule="auto"/>
        <w:ind w:firstLine="680"/>
        <w:jc w:val="both"/>
        <w:rPr>
          <w:rFonts w:ascii="Times New Roman" w:eastAsia="Times New Roman" w:hAnsi="Times New Roman" w:cs="Times New Roman"/>
          <w:sz w:val="24"/>
          <w:szCs w:val="24"/>
          <w:lang w:eastAsia="bg-BG"/>
        </w:rPr>
      </w:pPr>
    </w:p>
    <w:p w:rsidR="002D6D2D" w:rsidRPr="00C17917" w:rsidRDefault="00C17917" w:rsidP="00C17917">
      <w:pPr>
        <w:pStyle w:val="Caption"/>
        <w:jc w:val="center"/>
        <w:rPr>
          <w:rFonts w:ascii="Times New Roman" w:hAnsi="Times New Roman" w:cs="Times New Roman"/>
          <w:b w:val="0"/>
          <w:i/>
          <w:color w:val="000000" w:themeColor="text1"/>
          <w:sz w:val="24"/>
          <w:szCs w:val="24"/>
        </w:rPr>
      </w:pPr>
      <w:bookmarkStart w:id="16" w:name="_Toc510702996"/>
      <w:r w:rsidRPr="00C17917">
        <w:rPr>
          <w:rFonts w:ascii="Times New Roman" w:hAnsi="Times New Roman" w:cs="Times New Roman"/>
          <w:b w:val="0"/>
          <w:i/>
          <w:color w:val="000000" w:themeColor="text1"/>
          <w:sz w:val="24"/>
          <w:szCs w:val="24"/>
        </w:rPr>
        <w:t xml:space="preserve">Таблица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Таблица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2</w:t>
      </w:r>
      <w:r w:rsidRPr="00C17917">
        <w:rPr>
          <w:rFonts w:ascii="Times New Roman" w:hAnsi="Times New Roman" w:cs="Times New Roman"/>
          <w:b w:val="0"/>
          <w:i/>
          <w:color w:val="000000" w:themeColor="text1"/>
          <w:sz w:val="24"/>
          <w:szCs w:val="24"/>
        </w:rPr>
        <w:fldChar w:fldCharType="end"/>
      </w:r>
      <w:r w:rsidR="008C7033" w:rsidRPr="00C17917">
        <w:rPr>
          <w:rFonts w:ascii="Times New Roman" w:hAnsi="Times New Roman" w:cs="Times New Roman"/>
          <w:b w:val="0"/>
          <w:i/>
          <w:color w:val="000000" w:themeColor="text1"/>
          <w:sz w:val="24"/>
          <w:szCs w:val="24"/>
        </w:rPr>
        <w:t xml:space="preserve"> </w:t>
      </w:r>
      <w:r w:rsidR="00533A57" w:rsidRPr="00C17917">
        <w:rPr>
          <w:rFonts w:ascii="Times New Roman" w:hAnsi="Times New Roman" w:cs="Times New Roman"/>
          <w:b w:val="0"/>
          <w:i/>
          <w:color w:val="000000" w:themeColor="text1"/>
          <w:sz w:val="24"/>
          <w:szCs w:val="24"/>
        </w:rPr>
        <w:t>Степен на изпълнение на мерките за развитие, заложени в ОСР</w:t>
      </w:r>
      <w:bookmarkEnd w:id="16"/>
    </w:p>
    <w:tbl>
      <w:tblPr>
        <w:tblStyle w:val="TableGrid"/>
        <w:tblW w:w="0" w:type="auto"/>
        <w:jc w:val="center"/>
        <w:tblLook w:val="04A0" w:firstRow="1" w:lastRow="0" w:firstColumn="1" w:lastColumn="0" w:noHBand="0" w:noVBand="1"/>
      </w:tblPr>
      <w:tblGrid>
        <w:gridCol w:w="4606"/>
        <w:gridCol w:w="1031"/>
        <w:gridCol w:w="3575"/>
      </w:tblGrid>
      <w:tr w:rsidR="002D6D2D" w:rsidRPr="002D6D2D" w:rsidTr="001D283C">
        <w:trPr>
          <w:jc w:val="center"/>
        </w:trPr>
        <w:tc>
          <w:tcPr>
            <w:tcW w:w="4606" w:type="dxa"/>
          </w:tcPr>
          <w:p w:rsidR="002D6D2D" w:rsidRPr="002D6D2D" w:rsidRDefault="002D6D2D" w:rsidP="008A6ABE">
            <w:pPr>
              <w:spacing w:after="60"/>
              <w:jc w:val="center"/>
              <w:rPr>
                <w:rFonts w:ascii="Times New Roman" w:hAnsi="Times New Roman" w:cs="Times New Roman"/>
                <w:b/>
                <w:sz w:val="24"/>
                <w:szCs w:val="24"/>
                <w:lang w:val="bg-BG"/>
              </w:rPr>
            </w:pPr>
            <w:r w:rsidRPr="002D6D2D">
              <w:rPr>
                <w:rFonts w:ascii="Times New Roman" w:hAnsi="Times New Roman" w:cs="Times New Roman"/>
                <w:b/>
                <w:sz w:val="24"/>
                <w:szCs w:val="24"/>
                <w:lang w:val="bg-BG"/>
              </w:rPr>
              <w:t xml:space="preserve">Цел / Приоритет / </w:t>
            </w:r>
            <w:r w:rsidR="008A6ABE">
              <w:rPr>
                <w:rFonts w:ascii="Times New Roman" w:hAnsi="Times New Roman" w:cs="Times New Roman"/>
                <w:b/>
                <w:sz w:val="24"/>
                <w:szCs w:val="24"/>
                <w:lang w:val="bg-BG"/>
              </w:rPr>
              <w:t>М</w:t>
            </w:r>
            <w:r w:rsidRPr="002D6D2D">
              <w:rPr>
                <w:rFonts w:ascii="Times New Roman" w:hAnsi="Times New Roman" w:cs="Times New Roman"/>
                <w:b/>
                <w:sz w:val="24"/>
                <w:szCs w:val="24"/>
                <w:lang w:val="bg-BG"/>
              </w:rPr>
              <w:t>ярка</w:t>
            </w:r>
          </w:p>
        </w:tc>
        <w:tc>
          <w:tcPr>
            <w:tcW w:w="4606" w:type="dxa"/>
            <w:gridSpan w:val="2"/>
          </w:tcPr>
          <w:p w:rsidR="002D6D2D" w:rsidRPr="002D6D2D" w:rsidRDefault="002D6D2D" w:rsidP="00FA1CF4">
            <w:pPr>
              <w:spacing w:after="60"/>
              <w:jc w:val="center"/>
              <w:rPr>
                <w:rFonts w:ascii="Times New Roman" w:hAnsi="Times New Roman" w:cs="Times New Roman"/>
                <w:b/>
                <w:sz w:val="24"/>
                <w:szCs w:val="24"/>
                <w:lang w:val="bg-BG"/>
              </w:rPr>
            </w:pPr>
            <w:r w:rsidRPr="002D6D2D">
              <w:rPr>
                <w:rFonts w:ascii="Times New Roman" w:hAnsi="Times New Roman" w:cs="Times New Roman"/>
                <w:b/>
                <w:sz w:val="24"/>
                <w:szCs w:val="24"/>
                <w:lang w:val="bg-BG"/>
              </w:rPr>
              <w:t>Ниво на изпълнение</w:t>
            </w:r>
          </w:p>
        </w:tc>
      </w:tr>
      <w:tr w:rsidR="002D6D2D" w:rsidRPr="002D6D2D" w:rsidTr="001D283C">
        <w:trPr>
          <w:jc w:val="center"/>
        </w:trPr>
        <w:tc>
          <w:tcPr>
            <w:tcW w:w="9212" w:type="dxa"/>
            <w:gridSpan w:val="3"/>
            <w:shd w:val="clear" w:color="auto" w:fill="365F91" w:themeFill="accent1" w:themeFillShade="BF"/>
          </w:tcPr>
          <w:p w:rsidR="002D6D2D" w:rsidRPr="002D6D2D" w:rsidRDefault="002D6D2D" w:rsidP="00FA1CF4">
            <w:pPr>
              <w:spacing w:after="60"/>
              <w:jc w:val="center"/>
              <w:rPr>
                <w:rFonts w:ascii="Times New Roman" w:hAnsi="Times New Roman" w:cs="Times New Roman"/>
                <w:b/>
                <w:color w:val="FFFFFF" w:themeColor="background1"/>
                <w:sz w:val="24"/>
                <w:szCs w:val="24"/>
                <w:lang w:val="bg-BG"/>
              </w:rPr>
            </w:pPr>
            <w:r w:rsidRPr="002D6D2D">
              <w:rPr>
                <w:rFonts w:ascii="Times New Roman" w:hAnsi="Times New Roman" w:cs="Times New Roman"/>
                <w:b/>
                <w:color w:val="FFFFFF" w:themeColor="background1"/>
                <w:sz w:val="24"/>
                <w:szCs w:val="24"/>
                <w:lang w:val="bg-BG"/>
              </w:rPr>
              <w:t>СТРАТЕГИЧЕСКА ЦЕЛ 1</w:t>
            </w:r>
          </w:p>
        </w:tc>
      </w:tr>
      <w:tr w:rsidR="002D6D2D" w:rsidRPr="002D6D2D" w:rsidTr="001D283C">
        <w:trPr>
          <w:jc w:val="center"/>
        </w:trPr>
        <w:tc>
          <w:tcPr>
            <w:tcW w:w="9212" w:type="dxa"/>
            <w:gridSpan w:val="3"/>
            <w:shd w:val="clear" w:color="auto" w:fill="DBE5F1" w:themeFill="accent1" w:themeFillTint="33"/>
          </w:tcPr>
          <w:p w:rsidR="002D6D2D" w:rsidRPr="002D6D2D" w:rsidRDefault="002D6D2D" w:rsidP="00FA1CF4">
            <w:pPr>
              <w:spacing w:after="60"/>
              <w:jc w:val="center"/>
              <w:rPr>
                <w:rFonts w:ascii="Times New Roman" w:hAnsi="Times New Roman" w:cs="Times New Roman"/>
                <w:sz w:val="24"/>
                <w:szCs w:val="24"/>
                <w:lang w:val="bg-BG"/>
              </w:rPr>
            </w:pPr>
            <w:r w:rsidRPr="002D6D2D">
              <w:rPr>
                <w:rFonts w:ascii="Times New Roman" w:hAnsi="Times New Roman" w:cs="Times New Roman"/>
                <w:sz w:val="24"/>
                <w:szCs w:val="24"/>
                <w:lang w:val="bg-BG"/>
              </w:rPr>
              <w:t>ПРИОРИТЕТ 1 Развитие и модернизация на инфраструктурата, създаваща условия за устойчиво развитие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1: Развитие и модернизация на транспортната и комуникационната инфраструктура</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Средно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2: Развитие на водоснабдителната и канализационната инфраструктура</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Средно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3: Опазване на околната среда и биоразнообразието</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4: Изграждане на системи за предотвратяване на риска</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Средно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5: Подобряване модела на градско и селско развитие в област Ловеч</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9212" w:type="dxa"/>
            <w:gridSpan w:val="3"/>
            <w:shd w:val="clear" w:color="auto" w:fill="365F91" w:themeFill="accent1" w:themeFillShade="BF"/>
          </w:tcPr>
          <w:p w:rsidR="002D6D2D" w:rsidRPr="002D6D2D" w:rsidRDefault="002D6D2D" w:rsidP="00FA1CF4">
            <w:pPr>
              <w:spacing w:after="60"/>
              <w:jc w:val="center"/>
              <w:rPr>
                <w:rFonts w:ascii="Times New Roman" w:hAnsi="Times New Roman" w:cs="Times New Roman"/>
                <w:b/>
                <w:color w:val="FFFFFF" w:themeColor="background1"/>
                <w:sz w:val="24"/>
                <w:szCs w:val="24"/>
                <w:lang w:val="bg-BG"/>
              </w:rPr>
            </w:pPr>
            <w:r w:rsidRPr="002D6D2D">
              <w:rPr>
                <w:rFonts w:ascii="Times New Roman" w:hAnsi="Times New Roman" w:cs="Times New Roman"/>
                <w:b/>
                <w:color w:val="FFFFFF" w:themeColor="background1"/>
                <w:sz w:val="24"/>
                <w:szCs w:val="24"/>
                <w:lang w:val="bg-BG"/>
              </w:rPr>
              <w:t>СТРАТЕГИЧЕСКА ЦЕЛ 2</w:t>
            </w:r>
          </w:p>
        </w:tc>
      </w:tr>
      <w:tr w:rsidR="002D6D2D" w:rsidRPr="002D6D2D" w:rsidTr="001D283C">
        <w:trPr>
          <w:jc w:val="center"/>
        </w:trPr>
        <w:tc>
          <w:tcPr>
            <w:tcW w:w="9212" w:type="dxa"/>
            <w:gridSpan w:val="3"/>
            <w:shd w:val="clear" w:color="auto" w:fill="DBE5F1" w:themeFill="accent1" w:themeFillTint="33"/>
          </w:tcPr>
          <w:p w:rsidR="002D6D2D" w:rsidRPr="002D6D2D" w:rsidRDefault="002D6D2D" w:rsidP="00FA1CF4">
            <w:pPr>
              <w:spacing w:after="60"/>
              <w:jc w:val="center"/>
              <w:rPr>
                <w:rFonts w:ascii="Times New Roman" w:hAnsi="Times New Roman" w:cs="Times New Roman"/>
                <w:sz w:val="24"/>
                <w:szCs w:val="24"/>
                <w:lang w:val="bg-BG"/>
              </w:rPr>
            </w:pPr>
            <w:r w:rsidRPr="002D6D2D">
              <w:rPr>
                <w:rFonts w:ascii="Times New Roman" w:hAnsi="Times New Roman" w:cs="Times New Roman"/>
                <w:sz w:val="24"/>
                <w:szCs w:val="24"/>
                <w:lang w:val="bg-BG"/>
              </w:rPr>
              <w:t>ПРИОРИТЕТ 2  Развитие на човешкия капитал и местните общности</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1:   Осигуряване на модерно и достъпно образование и професионално обучение</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2:  Повишаване степента на заетост</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eastAsia="Times New Roman" w:hAnsi="Times New Roman" w:cs="Times New Roman"/>
                <w:sz w:val="24"/>
                <w:szCs w:val="24"/>
                <w:lang w:val="bg-BG" w:eastAsia="bg-BG"/>
              </w:rPr>
              <w:t>Мерки 3: Подкрепа за социално включване и равен достъп до образователни, социални и здравни услуги и повишаване ефективността на институциите</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4: Подкрепа за развитие на културни дейности и спорт</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5: Диалог и партньорство със структурите на гражданското общество</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9212" w:type="dxa"/>
            <w:gridSpan w:val="3"/>
            <w:shd w:val="clear" w:color="auto" w:fill="365F91" w:themeFill="accent1" w:themeFillShade="BF"/>
          </w:tcPr>
          <w:p w:rsidR="002D6D2D" w:rsidRPr="002D6D2D" w:rsidRDefault="002D6D2D" w:rsidP="00FA1CF4">
            <w:pPr>
              <w:spacing w:after="60"/>
              <w:jc w:val="center"/>
              <w:rPr>
                <w:rFonts w:ascii="Times New Roman" w:hAnsi="Times New Roman" w:cs="Times New Roman"/>
                <w:b/>
                <w:color w:val="FFFFFF" w:themeColor="background1"/>
                <w:sz w:val="24"/>
                <w:szCs w:val="24"/>
                <w:lang w:val="bg-BG"/>
              </w:rPr>
            </w:pPr>
            <w:r w:rsidRPr="002D6D2D">
              <w:rPr>
                <w:rFonts w:ascii="Times New Roman" w:hAnsi="Times New Roman" w:cs="Times New Roman"/>
                <w:b/>
                <w:color w:val="FFFFFF" w:themeColor="background1"/>
                <w:sz w:val="24"/>
                <w:szCs w:val="24"/>
                <w:lang w:val="bg-BG"/>
              </w:rPr>
              <w:t>СТРАТЕГИЧЕСКА ЦЕЛ 3</w:t>
            </w:r>
          </w:p>
        </w:tc>
      </w:tr>
      <w:tr w:rsidR="002D6D2D" w:rsidRPr="002D6D2D" w:rsidTr="001D283C">
        <w:trPr>
          <w:jc w:val="center"/>
        </w:trPr>
        <w:tc>
          <w:tcPr>
            <w:tcW w:w="9212" w:type="dxa"/>
            <w:gridSpan w:val="3"/>
            <w:shd w:val="clear" w:color="auto" w:fill="DBE5F1" w:themeFill="accent1" w:themeFillTint="33"/>
          </w:tcPr>
          <w:p w:rsidR="002D6D2D" w:rsidRPr="002D6D2D" w:rsidRDefault="002D6D2D" w:rsidP="00FA1CF4">
            <w:pPr>
              <w:spacing w:after="60"/>
              <w:jc w:val="center"/>
              <w:rPr>
                <w:rFonts w:ascii="Times New Roman" w:hAnsi="Times New Roman" w:cs="Times New Roman"/>
                <w:sz w:val="24"/>
                <w:szCs w:val="24"/>
                <w:lang w:val="bg-BG"/>
              </w:rPr>
            </w:pPr>
            <w:r w:rsidRPr="002D6D2D">
              <w:rPr>
                <w:rFonts w:ascii="Times New Roman" w:hAnsi="Times New Roman" w:cs="Times New Roman"/>
                <w:sz w:val="24"/>
                <w:szCs w:val="24"/>
                <w:lang w:val="bg-BG"/>
              </w:rPr>
              <w:t>ПРИОРИТЕТ 3 Повишаване на конкурентоспособността на местната икономика за постигане на икономически растеж и заетост</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1 : Развитие на бизнес средата, стимулиране на предприемачеството и привличане на инвестиции</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Средно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2 :   Повишаване на конкурентоспособността чрез технологична модернизация и внедряване на иновации</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3: Развитие на устойчиви форми на туризъм</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9212" w:type="dxa"/>
            <w:gridSpan w:val="3"/>
            <w:shd w:val="clear" w:color="auto" w:fill="DBE5F1" w:themeFill="accent1" w:themeFillTint="33"/>
          </w:tcPr>
          <w:p w:rsidR="002D6D2D" w:rsidRPr="002D6D2D" w:rsidRDefault="002D6D2D" w:rsidP="00FA1CF4">
            <w:pPr>
              <w:spacing w:after="60"/>
              <w:jc w:val="center"/>
              <w:rPr>
                <w:rFonts w:ascii="Times New Roman" w:hAnsi="Times New Roman" w:cs="Times New Roman"/>
                <w:sz w:val="24"/>
                <w:szCs w:val="24"/>
                <w:lang w:val="bg-BG"/>
              </w:rPr>
            </w:pPr>
            <w:r w:rsidRPr="002D6D2D">
              <w:rPr>
                <w:rFonts w:ascii="Times New Roman" w:hAnsi="Times New Roman" w:cs="Times New Roman"/>
                <w:sz w:val="24"/>
                <w:szCs w:val="24"/>
                <w:lang w:val="bg-BG"/>
              </w:rPr>
              <w:t>ПРИОРИТЕТ 4  Устойчиво развитие на конкурентоспособно селско и горско стопанство</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1: Развитие за производство на продукти с висока добавена стойност при устойчиво управление на природните ресурси</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2 : Модернизация и развитие на алтернативни производства за създаване на заетост</w:t>
            </w:r>
          </w:p>
        </w:tc>
        <w:tc>
          <w:tcPr>
            <w:tcW w:w="3575" w:type="dxa"/>
          </w:tcPr>
          <w:p w:rsidR="002D6D2D" w:rsidRPr="002D6D2D" w:rsidRDefault="002D6D2D" w:rsidP="00FA1CF4">
            <w:pPr>
              <w:spacing w:after="60"/>
              <w:jc w:val="both"/>
              <w:rPr>
                <w:rFonts w:ascii="Times New Roman" w:hAnsi="Times New Roman" w:cs="Times New Roman"/>
                <w:sz w:val="24"/>
                <w:szCs w:val="24"/>
                <w:lang w:val="bg-BG"/>
              </w:rPr>
            </w:pPr>
            <w:r w:rsidRPr="002D6D2D">
              <w:rPr>
                <w:rFonts w:ascii="Times New Roman" w:hAnsi="Times New Roman" w:cs="Times New Roman"/>
                <w:sz w:val="24"/>
                <w:szCs w:val="24"/>
                <w:lang w:val="bg-BG"/>
              </w:rPr>
              <w:t>Високо ниво на изпълнение</w:t>
            </w:r>
          </w:p>
        </w:tc>
      </w:tr>
      <w:tr w:rsidR="002D6D2D" w:rsidRPr="002D6D2D" w:rsidTr="001D283C">
        <w:trPr>
          <w:jc w:val="center"/>
        </w:trPr>
        <w:tc>
          <w:tcPr>
            <w:tcW w:w="5637" w:type="dxa"/>
            <w:gridSpan w:val="2"/>
          </w:tcPr>
          <w:p w:rsidR="002D6D2D" w:rsidRPr="002D6D2D" w:rsidRDefault="002D6D2D" w:rsidP="00FA1CF4">
            <w:pPr>
              <w:spacing w:after="60"/>
              <w:rPr>
                <w:rFonts w:ascii="Times New Roman" w:hAnsi="Times New Roman" w:cs="Times New Roman"/>
                <w:sz w:val="24"/>
                <w:szCs w:val="24"/>
                <w:lang w:val="bg-BG"/>
              </w:rPr>
            </w:pPr>
            <w:r w:rsidRPr="002D6D2D">
              <w:rPr>
                <w:rFonts w:ascii="Times New Roman" w:hAnsi="Times New Roman" w:cs="Times New Roman"/>
                <w:sz w:val="24"/>
                <w:szCs w:val="24"/>
                <w:lang w:val="bg-BG"/>
              </w:rPr>
              <w:t>Мерки 3: Опазване и възстановяване на горския фонд и  биологичното разнообразие</w:t>
            </w:r>
          </w:p>
        </w:tc>
        <w:tc>
          <w:tcPr>
            <w:tcW w:w="3575" w:type="dxa"/>
          </w:tcPr>
          <w:p w:rsidR="002D6D2D" w:rsidRPr="002D6D2D" w:rsidRDefault="00957C71" w:rsidP="00FA1CF4">
            <w:pPr>
              <w:spacing w:after="60"/>
              <w:jc w:val="both"/>
              <w:rPr>
                <w:rFonts w:ascii="Times New Roman" w:hAnsi="Times New Roman" w:cs="Times New Roman"/>
                <w:sz w:val="24"/>
                <w:szCs w:val="24"/>
                <w:lang w:val="bg-BG"/>
              </w:rPr>
            </w:pPr>
            <w:r>
              <w:rPr>
                <w:rFonts w:ascii="Times New Roman" w:hAnsi="Times New Roman" w:cs="Times New Roman"/>
                <w:sz w:val="24"/>
                <w:szCs w:val="24"/>
                <w:lang w:val="bg-BG"/>
              </w:rPr>
              <w:t>Високо</w:t>
            </w:r>
            <w:r w:rsidR="002D6D2D" w:rsidRPr="002D6D2D">
              <w:rPr>
                <w:rFonts w:ascii="Times New Roman" w:hAnsi="Times New Roman" w:cs="Times New Roman"/>
                <w:sz w:val="24"/>
                <w:szCs w:val="24"/>
                <w:lang w:val="bg-BG"/>
              </w:rPr>
              <w:t xml:space="preserve"> ниво на изпълнение</w:t>
            </w:r>
          </w:p>
        </w:tc>
      </w:tr>
    </w:tbl>
    <w:p w:rsidR="003973B8" w:rsidRDefault="003973B8" w:rsidP="00AA3127">
      <w:pPr>
        <w:spacing w:after="120" w:line="240" w:lineRule="auto"/>
        <w:jc w:val="both"/>
        <w:rPr>
          <w:rFonts w:ascii="Times New Roman" w:hAnsi="Times New Roman" w:cs="Times New Roman"/>
          <w:sz w:val="24"/>
          <w:szCs w:val="24"/>
        </w:rPr>
      </w:pPr>
    </w:p>
    <w:p w:rsidR="00F71668" w:rsidRDefault="00093101" w:rsidP="000931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Екипът на „Географика“ ООД открои д</w:t>
      </w:r>
      <w:r w:rsidR="00F71668" w:rsidRPr="00B57719">
        <w:rPr>
          <w:rFonts w:ascii="Times New Roman" w:hAnsi="Times New Roman" w:cs="Times New Roman"/>
          <w:sz w:val="24"/>
          <w:szCs w:val="24"/>
        </w:rPr>
        <w:t>ейности</w:t>
      </w:r>
      <w:r>
        <w:rPr>
          <w:rFonts w:ascii="Times New Roman" w:hAnsi="Times New Roman" w:cs="Times New Roman"/>
          <w:sz w:val="24"/>
          <w:szCs w:val="24"/>
        </w:rPr>
        <w:t>те</w:t>
      </w:r>
      <w:r w:rsidR="00F71668" w:rsidRPr="00B57719">
        <w:rPr>
          <w:rFonts w:ascii="Times New Roman" w:hAnsi="Times New Roman" w:cs="Times New Roman"/>
          <w:sz w:val="24"/>
          <w:szCs w:val="24"/>
        </w:rPr>
        <w:t xml:space="preserve">, </w:t>
      </w:r>
      <w:r>
        <w:rPr>
          <w:rFonts w:ascii="Times New Roman" w:hAnsi="Times New Roman" w:cs="Times New Roman"/>
          <w:sz w:val="24"/>
          <w:szCs w:val="24"/>
        </w:rPr>
        <w:t xml:space="preserve">по </w:t>
      </w:r>
      <w:r w:rsidR="00F71668" w:rsidRPr="00B57719">
        <w:rPr>
          <w:rFonts w:ascii="Times New Roman" w:hAnsi="Times New Roman" w:cs="Times New Roman"/>
          <w:sz w:val="24"/>
          <w:szCs w:val="24"/>
        </w:rPr>
        <w:t>които са реализирани</w:t>
      </w:r>
      <w:r>
        <w:rPr>
          <w:rFonts w:ascii="Times New Roman" w:hAnsi="Times New Roman" w:cs="Times New Roman"/>
          <w:sz w:val="24"/>
          <w:szCs w:val="24"/>
        </w:rPr>
        <w:t xml:space="preserve"> най-много по брой и обхват</w:t>
      </w:r>
      <w:r w:rsidR="00F71668" w:rsidRPr="00B57719">
        <w:rPr>
          <w:rFonts w:ascii="Times New Roman" w:hAnsi="Times New Roman" w:cs="Times New Roman"/>
          <w:sz w:val="24"/>
          <w:szCs w:val="24"/>
        </w:rPr>
        <w:t xml:space="preserve"> </w:t>
      </w:r>
      <w:r>
        <w:rPr>
          <w:rFonts w:ascii="Times New Roman" w:hAnsi="Times New Roman" w:cs="Times New Roman"/>
          <w:sz w:val="24"/>
          <w:szCs w:val="24"/>
        </w:rPr>
        <w:t xml:space="preserve">проекти </w:t>
      </w:r>
      <w:r w:rsidR="00F71668" w:rsidRPr="00B57719">
        <w:rPr>
          <w:rFonts w:ascii="Times New Roman" w:hAnsi="Times New Roman" w:cs="Times New Roman"/>
          <w:sz w:val="24"/>
          <w:szCs w:val="24"/>
        </w:rPr>
        <w:t>в област Ловеч:</w:t>
      </w:r>
      <w:r w:rsidR="00F17E6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C0085" w:rsidRDefault="00FC0085" w:rsidP="00093101">
      <w:pPr>
        <w:spacing w:after="0" w:line="360" w:lineRule="auto"/>
        <w:ind w:firstLine="708"/>
        <w:jc w:val="both"/>
        <w:rPr>
          <w:rFonts w:ascii="Times New Roman" w:hAnsi="Times New Roman" w:cs="Times New Roman"/>
          <w:sz w:val="24"/>
          <w:szCs w:val="24"/>
        </w:rPr>
      </w:pPr>
    </w:p>
    <w:tbl>
      <w:tblPr>
        <w:tblStyle w:val="MediumShading1-Accent1"/>
        <w:tblW w:w="0" w:type="auto"/>
        <w:jc w:val="center"/>
        <w:tblLook w:val="04A0" w:firstRow="1" w:lastRow="0" w:firstColumn="1" w:lastColumn="0" w:noHBand="0" w:noVBand="1"/>
      </w:tblPr>
      <w:tblGrid>
        <w:gridCol w:w="6504"/>
        <w:gridCol w:w="2762"/>
      </w:tblGrid>
      <w:tr w:rsidR="007754D6" w:rsidRPr="00FC0085" w:rsidTr="00FC00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FC0085" w:rsidRDefault="00E01D8E" w:rsidP="00E01D8E">
            <w:pPr>
              <w:spacing w:after="120"/>
              <w:rPr>
                <w:rFonts w:ascii="Times New Roman" w:hAnsi="Times New Roman" w:cs="Times New Roman"/>
                <w:sz w:val="24"/>
                <w:szCs w:val="24"/>
              </w:rPr>
            </w:pPr>
            <w:r w:rsidRPr="00FC0085">
              <w:rPr>
                <w:rFonts w:ascii="Times New Roman" w:hAnsi="Times New Roman" w:cs="Times New Roman"/>
                <w:sz w:val="24"/>
                <w:szCs w:val="24"/>
              </w:rPr>
              <w:t>Дейност</w:t>
            </w:r>
          </w:p>
        </w:tc>
        <w:tc>
          <w:tcPr>
            <w:tcW w:w="2762" w:type="dxa"/>
          </w:tcPr>
          <w:p w:rsidR="007754D6" w:rsidRPr="00FC0085" w:rsidRDefault="00E01D8E" w:rsidP="00E01D8E">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0085">
              <w:rPr>
                <w:rFonts w:ascii="Times New Roman" w:hAnsi="Times New Roman" w:cs="Times New Roman"/>
                <w:sz w:val="24"/>
                <w:szCs w:val="24"/>
              </w:rPr>
              <w:t xml:space="preserve">Обхват </w:t>
            </w:r>
          </w:p>
        </w:tc>
      </w:tr>
      <w:tr w:rsidR="007754D6" w:rsidRPr="00E01D8E" w:rsidTr="00FC00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Реконструкция и ремонт на общинските пътища</w:t>
            </w:r>
          </w:p>
        </w:tc>
        <w:tc>
          <w:tcPr>
            <w:tcW w:w="2762" w:type="dxa"/>
          </w:tcPr>
          <w:p w:rsidR="007754D6" w:rsidRPr="00E01D8E" w:rsidRDefault="007754D6" w:rsidP="00E01D8E">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във всички общини</w:t>
            </w:r>
          </w:p>
        </w:tc>
      </w:tr>
      <w:tr w:rsidR="007754D6" w:rsidRPr="00E01D8E" w:rsidTr="00FC00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Модернизация и реконструкция на водопроводната мрежа за намаляване на загубите</w:t>
            </w:r>
          </w:p>
        </w:tc>
        <w:tc>
          <w:tcPr>
            <w:tcW w:w="2762" w:type="dxa"/>
          </w:tcPr>
          <w:p w:rsidR="007754D6" w:rsidRPr="00E01D8E" w:rsidRDefault="007754D6" w:rsidP="00E01D8E">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във всички общини</w:t>
            </w:r>
          </w:p>
        </w:tc>
      </w:tr>
      <w:tr w:rsidR="007754D6" w:rsidRPr="00E01D8E" w:rsidTr="00FC00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Подобряване на качествата на градската среда</w:t>
            </w:r>
          </w:p>
        </w:tc>
        <w:tc>
          <w:tcPr>
            <w:tcW w:w="2762" w:type="dxa"/>
          </w:tcPr>
          <w:p w:rsidR="007754D6" w:rsidRPr="00E01D8E" w:rsidRDefault="007754D6" w:rsidP="00E01D8E">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във всички общини</w:t>
            </w:r>
          </w:p>
        </w:tc>
      </w:tr>
      <w:tr w:rsidR="007754D6" w:rsidRPr="00E01D8E" w:rsidTr="00FC00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Насърчаване изграждането на местна инфраструктура и обновяване на селата</w:t>
            </w:r>
          </w:p>
        </w:tc>
        <w:tc>
          <w:tcPr>
            <w:tcW w:w="2762" w:type="dxa"/>
          </w:tcPr>
          <w:p w:rsidR="007754D6" w:rsidRPr="00E01D8E" w:rsidRDefault="007754D6" w:rsidP="00E01D8E">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7 общини</w:t>
            </w:r>
          </w:p>
        </w:tc>
      </w:tr>
      <w:tr w:rsidR="007754D6" w:rsidRPr="00E01D8E" w:rsidTr="00FC00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Подкрепа за обучение, осигуряващо професионална  подготовка и квалификация според нуждите на пазара на труда</w:t>
            </w:r>
          </w:p>
        </w:tc>
        <w:tc>
          <w:tcPr>
            <w:tcW w:w="2762" w:type="dxa"/>
          </w:tcPr>
          <w:p w:rsidR="007754D6" w:rsidRPr="00E01D8E" w:rsidRDefault="007754D6" w:rsidP="00E01D8E">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7 общини</w:t>
            </w:r>
          </w:p>
        </w:tc>
      </w:tr>
      <w:tr w:rsidR="007754D6" w:rsidRPr="00E01D8E" w:rsidTr="00FC00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Осигуряване на адекватна материално-техническа база в образователните и обучителните институции и модерен образователен процес</w:t>
            </w:r>
          </w:p>
        </w:tc>
        <w:tc>
          <w:tcPr>
            <w:tcW w:w="2762" w:type="dxa"/>
          </w:tcPr>
          <w:p w:rsidR="007754D6" w:rsidRPr="00E01D8E" w:rsidRDefault="007754D6" w:rsidP="00E01D8E">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7 общини</w:t>
            </w:r>
          </w:p>
        </w:tc>
      </w:tr>
      <w:tr w:rsidR="007754D6" w:rsidRPr="00E01D8E" w:rsidTr="00FC00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Активно прилагане на мерките, целящи повишаване на трудовата заетост</w:t>
            </w:r>
          </w:p>
        </w:tc>
        <w:tc>
          <w:tcPr>
            <w:tcW w:w="2762" w:type="dxa"/>
          </w:tcPr>
          <w:p w:rsidR="007754D6" w:rsidRPr="00E01D8E" w:rsidRDefault="007754D6" w:rsidP="00E01D8E">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6 общини</w:t>
            </w:r>
          </w:p>
        </w:tc>
      </w:tr>
      <w:tr w:rsidR="007754D6" w:rsidRPr="00E01D8E" w:rsidTr="00FC00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Разширяване на предлагането на социални услуги в общността за деца в риск, хора с увреждания и възрастни хора и намаляване дела на настанените в институции</w:t>
            </w:r>
          </w:p>
        </w:tc>
        <w:tc>
          <w:tcPr>
            <w:tcW w:w="2762" w:type="dxa"/>
          </w:tcPr>
          <w:p w:rsidR="007754D6" w:rsidRPr="00E01D8E" w:rsidRDefault="007754D6" w:rsidP="00E01D8E">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7 общини</w:t>
            </w:r>
          </w:p>
        </w:tc>
      </w:tr>
      <w:tr w:rsidR="007754D6" w:rsidRPr="00E01D8E" w:rsidTr="00FC00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Подкрепа за местните културни центрове, библиотеки, читалища, клубове, творчески състави и самодейни колективи</w:t>
            </w:r>
          </w:p>
        </w:tc>
        <w:tc>
          <w:tcPr>
            <w:tcW w:w="2762" w:type="dxa"/>
          </w:tcPr>
          <w:p w:rsidR="007754D6" w:rsidRPr="00E01D8E" w:rsidRDefault="007754D6" w:rsidP="00E01D8E">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във всички общини</w:t>
            </w:r>
          </w:p>
        </w:tc>
      </w:tr>
      <w:tr w:rsidR="007754D6" w:rsidRPr="00E01D8E" w:rsidTr="00FC008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Усъвършенстване на адми</w:t>
            </w:r>
            <w:r w:rsidR="00246404">
              <w:rPr>
                <w:rFonts w:ascii="Times New Roman" w:hAnsi="Times New Roman" w:cs="Times New Roman"/>
                <w:sz w:val="24"/>
                <w:szCs w:val="24"/>
              </w:rPr>
              <w:t>нистративните услуги за бизнеса</w:t>
            </w:r>
          </w:p>
        </w:tc>
        <w:tc>
          <w:tcPr>
            <w:tcW w:w="2762" w:type="dxa"/>
          </w:tcPr>
          <w:p w:rsidR="007754D6" w:rsidRPr="00E01D8E" w:rsidRDefault="007754D6" w:rsidP="00E01D8E">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6 общини и в областна администрация</w:t>
            </w:r>
          </w:p>
        </w:tc>
      </w:tr>
      <w:tr w:rsidR="007754D6" w:rsidRPr="00E01D8E" w:rsidTr="00FC00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4" w:type="dxa"/>
          </w:tcPr>
          <w:p w:rsidR="007754D6" w:rsidRPr="00E01D8E" w:rsidRDefault="007754D6" w:rsidP="00E01D8E">
            <w:pPr>
              <w:spacing w:after="120"/>
              <w:rPr>
                <w:rFonts w:ascii="Times New Roman" w:hAnsi="Times New Roman" w:cs="Times New Roman"/>
                <w:sz w:val="24"/>
                <w:szCs w:val="24"/>
              </w:rPr>
            </w:pPr>
            <w:r w:rsidRPr="00E01D8E">
              <w:rPr>
                <w:rFonts w:ascii="Times New Roman" w:hAnsi="Times New Roman" w:cs="Times New Roman"/>
                <w:sz w:val="24"/>
                <w:szCs w:val="24"/>
              </w:rPr>
              <w:t>Подобряване качеството на услугите в туризма</w:t>
            </w:r>
          </w:p>
        </w:tc>
        <w:tc>
          <w:tcPr>
            <w:tcW w:w="2762" w:type="dxa"/>
          </w:tcPr>
          <w:p w:rsidR="007754D6" w:rsidRPr="00E01D8E" w:rsidRDefault="007754D6" w:rsidP="00E01D8E">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1D8E">
              <w:rPr>
                <w:rFonts w:ascii="Times New Roman" w:hAnsi="Times New Roman" w:cs="Times New Roman"/>
                <w:sz w:val="24"/>
                <w:szCs w:val="24"/>
              </w:rPr>
              <w:t>в 6 общини</w:t>
            </w:r>
          </w:p>
        </w:tc>
      </w:tr>
    </w:tbl>
    <w:p w:rsidR="007754D6" w:rsidRDefault="007754D6" w:rsidP="00800AC2">
      <w:pPr>
        <w:spacing w:after="0" w:line="360" w:lineRule="auto"/>
        <w:rPr>
          <w:rFonts w:ascii="Times New Roman" w:hAnsi="Times New Roman" w:cs="Times New Roman"/>
          <w:sz w:val="24"/>
          <w:szCs w:val="24"/>
        </w:rPr>
      </w:pPr>
    </w:p>
    <w:p w:rsidR="00F71668" w:rsidRPr="00800AC2" w:rsidRDefault="00F71668" w:rsidP="00800AC2">
      <w:pPr>
        <w:spacing w:after="0" w:line="360" w:lineRule="auto"/>
        <w:ind w:firstLine="708"/>
        <w:jc w:val="both"/>
        <w:rPr>
          <w:rFonts w:ascii="Times New Roman" w:eastAsia="Calibri" w:hAnsi="Times New Roman" w:cs="Times New Roman"/>
          <w:b/>
          <w:i/>
          <w:color w:val="365F91" w:themeColor="accent1" w:themeShade="BF"/>
          <w:sz w:val="24"/>
          <w:szCs w:val="24"/>
        </w:rPr>
      </w:pPr>
      <w:r w:rsidRPr="00800AC2">
        <w:rPr>
          <w:rFonts w:ascii="Times New Roman" w:eastAsia="Calibri" w:hAnsi="Times New Roman" w:cs="Times New Roman"/>
          <w:b/>
          <w:i/>
          <w:color w:val="365F91" w:themeColor="accent1" w:themeShade="BF"/>
          <w:sz w:val="24"/>
          <w:szCs w:val="24"/>
        </w:rPr>
        <w:t xml:space="preserve">Изводи </w:t>
      </w:r>
    </w:p>
    <w:p w:rsidR="00216C54" w:rsidRDefault="00216C54" w:rsidP="008250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ОСР 2014-2020г. на област Ловеч има заложени 3 стратегически цели с разпределени по тях 16 мерки за развитие, от които: </w:t>
      </w:r>
      <w:r w:rsidR="0082504B">
        <w:rPr>
          <w:rFonts w:ascii="Times New Roman" w:hAnsi="Times New Roman" w:cs="Times New Roman"/>
          <w:sz w:val="24"/>
          <w:szCs w:val="24"/>
        </w:rPr>
        <w:t xml:space="preserve">  </w:t>
      </w:r>
    </w:p>
    <w:p w:rsidR="00216C54" w:rsidRDefault="00216C54" w:rsidP="0022229C">
      <w:pPr>
        <w:pStyle w:val="ListParagraph"/>
        <w:numPr>
          <w:ilvl w:val="0"/>
          <w:numId w:val="17"/>
        </w:numPr>
        <w:spacing w:after="0" w:line="360" w:lineRule="auto"/>
        <w:ind w:left="1134"/>
        <w:contextualSpacing w:val="0"/>
        <w:jc w:val="both"/>
        <w:rPr>
          <w:rFonts w:ascii="Times New Roman" w:hAnsi="Times New Roman" w:cs="Times New Roman"/>
          <w:sz w:val="24"/>
          <w:szCs w:val="24"/>
        </w:rPr>
      </w:pPr>
      <w:r w:rsidRPr="005513E5">
        <w:rPr>
          <w:rFonts w:ascii="Times New Roman" w:hAnsi="Times New Roman" w:cs="Times New Roman"/>
          <w:sz w:val="24"/>
          <w:szCs w:val="24"/>
        </w:rPr>
        <w:t>с ниско ниво на изпълнение</w:t>
      </w:r>
      <w:r>
        <w:rPr>
          <w:rFonts w:ascii="Times New Roman" w:hAnsi="Times New Roman" w:cs="Times New Roman"/>
          <w:sz w:val="24"/>
          <w:szCs w:val="24"/>
        </w:rPr>
        <w:t xml:space="preserve"> – 0 бр.</w:t>
      </w:r>
    </w:p>
    <w:p w:rsidR="00216C54" w:rsidRDefault="00216C54" w:rsidP="0022229C">
      <w:pPr>
        <w:pStyle w:val="ListParagraph"/>
        <w:numPr>
          <w:ilvl w:val="0"/>
          <w:numId w:val="17"/>
        </w:numPr>
        <w:spacing w:after="0" w:line="36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със средно ниво на изпълнение – 4 бр.</w:t>
      </w:r>
    </w:p>
    <w:p w:rsidR="00216C54" w:rsidRPr="005513E5" w:rsidRDefault="00216C54" w:rsidP="0022229C">
      <w:pPr>
        <w:pStyle w:val="ListParagraph"/>
        <w:numPr>
          <w:ilvl w:val="0"/>
          <w:numId w:val="17"/>
        </w:numPr>
        <w:spacing w:after="0" w:line="36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с високо ниво на изпълнение – 12 бр.</w:t>
      </w:r>
    </w:p>
    <w:p w:rsidR="00216C54" w:rsidRDefault="00216C54" w:rsidP="008250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Степента на постигане на целите на ОСР на област Ловеч за периода 2014-2016 г. може да се оцени като много висока. Най-високо ниво на изпълнение се наблюдава при Стратегическа цел 2, следвана от Стратегическа цел 3 и Стратегическа цел 1</w:t>
      </w:r>
      <w:r w:rsidR="0022229C">
        <w:rPr>
          <w:rFonts w:ascii="Times New Roman" w:hAnsi="Times New Roman" w:cs="Times New Roman"/>
          <w:sz w:val="24"/>
          <w:szCs w:val="24"/>
        </w:rPr>
        <w:t>.</w:t>
      </w:r>
    </w:p>
    <w:p w:rsidR="00946123" w:rsidRPr="00781D23" w:rsidRDefault="00946123" w:rsidP="00781D23">
      <w:pPr>
        <w:spacing w:after="0" w:line="360" w:lineRule="auto"/>
        <w:ind w:firstLine="680"/>
        <w:jc w:val="both"/>
        <w:rPr>
          <w:rFonts w:ascii="Times New Roman" w:eastAsia="Times New Roman" w:hAnsi="Times New Roman" w:cs="Times New Roman"/>
          <w:sz w:val="24"/>
          <w:szCs w:val="24"/>
          <w:lang w:eastAsia="bg-BG"/>
        </w:rPr>
      </w:pPr>
      <w:r w:rsidRPr="00781D23">
        <w:rPr>
          <w:rFonts w:ascii="Times New Roman" w:eastAsia="Times New Roman" w:hAnsi="Times New Roman" w:cs="Times New Roman"/>
          <w:sz w:val="24"/>
          <w:szCs w:val="24"/>
          <w:lang w:eastAsia="bg-BG"/>
        </w:rPr>
        <w:t xml:space="preserve">Най-добър напредък се наблюдава при изпълнение на дейности по изграждане и подобряване на техническата </w:t>
      </w:r>
      <w:r w:rsidRPr="00BB4FAD">
        <w:rPr>
          <w:rFonts w:ascii="Times New Roman" w:eastAsia="Times New Roman" w:hAnsi="Times New Roman" w:cs="Times New Roman"/>
          <w:sz w:val="24"/>
          <w:szCs w:val="24"/>
          <w:lang w:eastAsia="bg-BG"/>
        </w:rPr>
        <w:t xml:space="preserve">инфраструктура и </w:t>
      </w:r>
      <w:r w:rsidR="00FA1CF4" w:rsidRPr="00BB4FAD">
        <w:rPr>
          <w:rFonts w:ascii="Times New Roman" w:eastAsia="Times New Roman" w:hAnsi="Times New Roman" w:cs="Times New Roman"/>
          <w:sz w:val="24"/>
          <w:szCs w:val="24"/>
          <w:lang w:eastAsia="bg-BG"/>
        </w:rPr>
        <w:t xml:space="preserve">условията на живот </w:t>
      </w:r>
      <w:r w:rsidRPr="00BB4FAD">
        <w:rPr>
          <w:rFonts w:ascii="Times New Roman" w:eastAsia="Times New Roman" w:hAnsi="Times New Roman" w:cs="Times New Roman"/>
          <w:sz w:val="24"/>
          <w:szCs w:val="24"/>
          <w:lang w:eastAsia="bg-BG"/>
        </w:rPr>
        <w:t xml:space="preserve">в </w:t>
      </w:r>
      <w:r w:rsidR="00FA1CF4" w:rsidRPr="00BB4FAD">
        <w:rPr>
          <w:rFonts w:ascii="Times New Roman" w:eastAsia="Times New Roman" w:hAnsi="Times New Roman" w:cs="Times New Roman"/>
          <w:sz w:val="24"/>
          <w:szCs w:val="24"/>
          <w:lang w:eastAsia="bg-BG"/>
        </w:rPr>
        <w:t>населените</w:t>
      </w:r>
      <w:r w:rsidR="00FA1CF4" w:rsidRPr="00781D23">
        <w:rPr>
          <w:rFonts w:ascii="Times New Roman" w:eastAsia="Times New Roman" w:hAnsi="Times New Roman" w:cs="Times New Roman"/>
          <w:sz w:val="24"/>
          <w:szCs w:val="24"/>
          <w:lang w:eastAsia="bg-BG"/>
        </w:rPr>
        <w:t xml:space="preserve"> места в </w:t>
      </w:r>
      <w:r w:rsidRPr="00781D23">
        <w:rPr>
          <w:rFonts w:ascii="Times New Roman" w:eastAsia="Times New Roman" w:hAnsi="Times New Roman" w:cs="Times New Roman"/>
          <w:sz w:val="24"/>
          <w:szCs w:val="24"/>
          <w:lang w:eastAsia="bg-BG"/>
        </w:rPr>
        <w:t xml:space="preserve">общините от областта, както и при дейности за развитие на човешкия капитал, </w:t>
      </w:r>
      <w:r w:rsidRPr="002D6D2D">
        <w:rPr>
          <w:rFonts w:ascii="Times New Roman" w:eastAsia="Times New Roman" w:hAnsi="Times New Roman" w:cs="Times New Roman"/>
          <w:sz w:val="24"/>
          <w:szCs w:val="24"/>
          <w:lang w:eastAsia="bg-BG"/>
        </w:rPr>
        <w:t>социално включване и равен достъп до образователни, социални и здравни услуги</w:t>
      </w:r>
      <w:r>
        <w:rPr>
          <w:rFonts w:ascii="Times New Roman" w:eastAsia="Times New Roman" w:hAnsi="Times New Roman" w:cs="Times New Roman"/>
          <w:sz w:val="24"/>
          <w:szCs w:val="24"/>
          <w:lang w:eastAsia="bg-BG"/>
        </w:rPr>
        <w:t xml:space="preserve">, </w:t>
      </w:r>
      <w:r w:rsidRPr="00781D23">
        <w:rPr>
          <w:rFonts w:ascii="Times New Roman" w:eastAsia="Times New Roman" w:hAnsi="Times New Roman" w:cs="Times New Roman"/>
          <w:sz w:val="24"/>
          <w:szCs w:val="24"/>
          <w:lang w:eastAsia="bg-BG"/>
        </w:rPr>
        <w:t>развитие на културни дейности и устойчиви форми на туризъм.</w:t>
      </w:r>
    </w:p>
    <w:p w:rsidR="00023EF8" w:rsidRPr="00781D23" w:rsidRDefault="00781D23" w:rsidP="00781D23">
      <w:pPr>
        <w:spacing w:after="0" w:line="360" w:lineRule="auto"/>
        <w:ind w:firstLine="680"/>
        <w:jc w:val="both"/>
        <w:rPr>
          <w:rFonts w:ascii="Times New Roman" w:eastAsia="Times New Roman" w:hAnsi="Times New Roman" w:cs="Times New Roman"/>
          <w:sz w:val="24"/>
          <w:szCs w:val="24"/>
          <w:lang w:eastAsia="bg-BG"/>
        </w:rPr>
      </w:pPr>
      <w:r w:rsidRPr="00781D23">
        <w:rPr>
          <w:rFonts w:ascii="Times New Roman" w:eastAsia="Times New Roman" w:hAnsi="Times New Roman" w:cs="Times New Roman"/>
          <w:sz w:val="24"/>
          <w:szCs w:val="24"/>
          <w:lang w:eastAsia="bg-BG"/>
        </w:rPr>
        <w:t xml:space="preserve">Мерки за развитие, при които изпълнението на дейностите е слабо са в посока </w:t>
      </w:r>
      <w:r w:rsidR="00BB4FAD">
        <w:rPr>
          <w:rFonts w:ascii="Times New Roman" w:eastAsia="Times New Roman" w:hAnsi="Times New Roman" w:cs="Times New Roman"/>
          <w:sz w:val="24"/>
          <w:szCs w:val="24"/>
          <w:lang w:eastAsia="bg-BG"/>
        </w:rPr>
        <w:t>р</w:t>
      </w:r>
      <w:r w:rsidR="00023EF8" w:rsidRPr="00781D23">
        <w:rPr>
          <w:rFonts w:ascii="Times New Roman" w:eastAsia="Times New Roman" w:hAnsi="Times New Roman" w:cs="Times New Roman"/>
          <w:sz w:val="24"/>
          <w:szCs w:val="24"/>
          <w:lang w:eastAsia="bg-BG"/>
        </w:rPr>
        <w:t>азвитие на бизнес средата, стимулиране на предприемачеството и привличане на инвестиции</w:t>
      </w:r>
      <w:r w:rsidRPr="00781D23">
        <w:rPr>
          <w:rFonts w:ascii="Times New Roman" w:eastAsia="Times New Roman" w:hAnsi="Times New Roman" w:cs="Times New Roman"/>
          <w:sz w:val="24"/>
          <w:szCs w:val="24"/>
          <w:lang w:eastAsia="bg-BG"/>
        </w:rPr>
        <w:t xml:space="preserve">, </w:t>
      </w:r>
      <w:r w:rsidR="00BB4FAD">
        <w:rPr>
          <w:rFonts w:ascii="Times New Roman" w:eastAsia="Times New Roman" w:hAnsi="Times New Roman" w:cs="Times New Roman"/>
          <w:sz w:val="24"/>
          <w:szCs w:val="24"/>
          <w:lang w:eastAsia="bg-BG"/>
        </w:rPr>
        <w:t>р</w:t>
      </w:r>
      <w:r w:rsidR="00023EF8" w:rsidRPr="00781D23">
        <w:rPr>
          <w:rFonts w:ascii="Times New Roman" w:eastAsia="Times New Roman" w:hAnsi="Times New Roman" w:cs="Times New Roman"/>
          <w:sz w:val="24"/>
          <w:szCs w:val="24"/>
          <w:lang w:eastAsia="bg-BG"/>
        </w:rPr>
        <w:t>азвитие за производство на продукти с висока добавена стойност при устойчиво управление на пр</w:t>
      </w:r>
      <w:r w:rsidR="00BB4FAD">
        <w:rPr>
          <w:rFonts w:ascii="Times New Roman" w:eastAsia="Times New Roman" w:hAnsi="Times New Roman" w:cs="Times New Roman"/>
          <w:sz w:val="24"/>
          <w:szCs w:val="24"/>
          <w:lang w:eastAsia="bg-BG"/>
        </w:rPr>
        <w:t>иродните ресурси – п</w:t>
      </w:r>
      <w:r w:rsidR="00023EF8" w:rsidRPr="00781D23">
        <w:rPr>
          <w:rFonts w:ascii="Times New Roman" w:eastAsia="Times New Roman" w:hAnsi="Times New Roman" w:cs="Times New Roman"/>
          <w:sz w:val="24"/>
          <w:szCs w:val="24"/>
          <w:lang w:eastAsia="bg-BG"/>
        </w:rPr>
        <w:t>одобряване</w:t>
      </w:r>
      <w:r w:rsidR="00BB4FAD">
        <w:rPr>
          <w:rFonts w:ascii="Times New Roman" w:eastAsia="Times New Roman" w:hAnsi="Times New Roman" w:cs="Times New Roman"/>
          <w:sz w:val="24"/>
          <w:szCs w:val="24"/>
          <w:lang w:eastAsia="bg-BG"/>
        </w:rPr>
        <w:t xml:space="preserve"> </w:t>
      </w:r>
      <w:r w:rsidR="00023EF8" w:rsidRPr="00781D23">
        <w:rPr>
          <w:rFonts w:ascii="Times New Roman" w:eastAsia="Times New Roman" w:hAnsi="Times New Roman" w:cs="Times New Roman"/>
          <w:sz w:val="24"/>
          <w:szCs w:val="24"/>
          <w:lang w:eastAsia="bg-BG"/>
        </w:rPr>
        <w:t>на човешкия потенциал</w:t>
      </w:r>
      <w:r w:rsidRPr="00781D23">
        <w:rPr>
          <w:rFonts w:ascii="Times New Roman" w:eastAsia="Times New Roman" w:hAnsi="Times New Roman" w:cs="Times New Roman"/>
          <w:sz w:val="24"/>
          <w:szCs w:val="24"/>
          <w:lang w:eastAsia="bg-BG"/>
        </w:rPr>
        <w:t xml:space="preserve">, </w:t>
      </w:r>
      <w:r w:rsidR="00BB4FAD">
        <w:rPr>
          <w:rFonts w:ascii="Times New Roman" w:eastAsia="Times New Roman" w:hAnsi="Times New Roman" w:cs="Times New Roman"/>
          <w:sz w:val="24"/>
          <w:szCs w:val="24"/>
          <w:lang w:eastAsia="bg-BG"/>
        </w:rPr>
        <w:t>п</w:t>
      </w:r>
      <w:r w:rsidR="00023EF8" w:rsidRPr="00781D23">
        <w:rPr>
          <w:rFonts w:ascii="Times New Roman" w:eastAsia="Times New Roman" w:hAnsi="Times New Roman" w:cs="Times New Roman"/>
          <w:sz w:val="24"/>
          <w:szCs w:val="24"/>
          <w:lang w:eastAsia="bg-BG"/>
        </w:rPr>
        <w:t>овишаване информираността на земеделските стопани</w:t>
      </w:r>
      <w:r w:rsidRPr="00781D23">
        <w:rPr>
          <w:rFonts w:ascii="Times New Roman" w:eastAsia="Times New Roman" w:hAnsi="Times New Roman" w:cs="Times New Roman"/>
          <w:sz w:val="24"/>
          <w:szCs w:val="24"/>
          <w:lang w:eastAsia="bg-BG"/>
        </w:rPr>
        <w:t xml:space="preserve">, </w:t>
      </w:r>
      <w:r w:rsidR="00BB4FAD">
        <w:rPr>
          <w:rFonts w:ascii="Times New Roman" w:eastAsia="Times New Roman" w:hAnsi="Times New Roman" w:cs="Times New Roman"/>
          <w:sz w:val="24"/>
          <w:szCs w:val="24"/>
          <w:lang w:eastAsia="bg-BG"/>
        </w:rPr>
        <w:t>н</w:t>
      </w:r>
      <w:r w:rsidR="00023EF8" w:rsidRPr="00781D23">
        <w:rPr>
          <w:rFonts w:ascii="Times New Roman" w:eastAsia="Times New Roman" w:hAnsi="Times New Roman" w:cs="Times New Roman"/>
          <w:sz w:val="24"/>
          <w:szCs w:val="24"/>
          <w:lang w:eastAsia="bg-BG"/>
        </w:rPr>
        <w:t>асърчаване на органичното производство на селскостопански продукти</w:t>
      </w:r>
      <w:r w:rsidRPr="00781D23">
        <w:rPr>
          <w:rFonts w:ascii="Times New Roman" w:eastAsia="Times New Roman" w:hAnsi="Times New Roman" w:cs="Times New Roman"/>
          <w:sz w:val="24"/>
          <w:szCs w:val="24"/>
          <w:lang w:eastAsia="bg-BG"/>
        </w:rPr>
        <w:t xml:space="preserve">, </w:t>
      </w:r>
      <w:r w:rsidR="00BB4FAD">
        <w:rPr>
          <w:rFonts w:ascii="Times New Roman" w:eastAsia="Times New Roman" w:hAnsi="Times New Roman" w:cs="Times New Roman"/>
          <w:sz w:val="24"/>
          <w:szCs w:val="24"/>
          <w:lang w:eastAsia="bg-BG"/>
        </w:rPr>
        <w:t>о</w:t>
      </w:r>
      <w:r w:rsidR="00023EF8" w:rsidRPr="00781D23">
        <w:rPr>
          <w:rFonts w:ascii="Times New Roman" w:eastAsia="Times New Roman" w:hAnsi="Times New Roman" w:cs="Times New Roman"/>
          <w:sz w:val="24"/>
          <w:szCs w:val="24"/>
          <w:lang w:eastAsia="bg-BG"/>
        </w:rPr>
        <w:t>пазване и възстановяване на горския фонд и  биологичното разнообразие</w:t>
      </w:r>
      <w:r w:rsidRPr="00781D23">
        <w:rPr>
          <w:rFonts w:ascii="Times New Roman" w:eastAsia="Times New Roman" w:hAnsi="Times New Roman" w:cs="Times New Roman"/>
          <w:sz w:val="24"/>
          <w:szCs w:val="24"/>
          <w:lang w:eastAsia="bg-BG"/>
        </w:rPr>
        <w:t>.</w:t>
      </w:r>
    </w:p>
    <w:p w:rsidR="003973B8" w:rsidRPr="00781D23" w:rsidRDefault="003973B8" w:rsidP="00781D23">
      <w:pPr>
        <w:spacing w:after="0" w:line="360" w:lineRule="auto"/>
        <w:ind w:firstLine="680"/>
        <w:jc w:val="both"/>
        <w:rPr>
          <w:rFonts w:ascii="Times New Roman" w:eastAsia="Times New Roman" w:hAnsi="Times New Roman" w:cs="Times New Roman"/>
          <w:sz w:val="24"/>
          <w:szCs w:val="24"/>
          <w:lang w:eastAsia="bg-BG"/>
        </w:rPr>
      </w:pPr>
      <w:r w:rsidRPr="00781D23">
        <w:rPr>
          <w:rFonts w:ascii="Times New Roman" w:eastAsia="Times New Roman" w:hAnsi="Times New Roman" w:cs="Times New Roman"/>
          <w:sz w:val="24"/>
          <w:szCs w:val="24"/>
          <w:lang w:eastAsia="bg-BG"/>
        </w:rPr>
        <w:t>По мерките на стратегическите цели са планирани различен брой дейности с различно по обхват въздействие (брой общини).</w:t>
      </w:r>
    </w:p>
    <w:p w:rsidR="003973B8" w:rsidRPr="00781D23" w:rsidRDefault="003973B8" w:rsidP="00781D23">
      <w:pPr>
        <w:spacing w:after="0" w:line="360" w:lineRule="auto"/>
        <w:ind w:firstLine="680"/>
        <w:jc w:val="both"/>
        <w:rPr>
          <w:rFonts w:ascii="Times New Roman" w:eastAsia="Times New Roman" w:hAnsi="Times New Roman" w:cs="Times New Roman"/>
          <w:sz w:val="24"/>
          <w:szCs w:val="24"/>
          <w:lang w:eastAsia="bg-BG"/>
        </w:rPr>
      </w:pPr>
      <w:r w:rsidRPr="00781D23">
        <w:rPr>
          <w:rFonts w:ascii="Times New Roman" w:eastAsia="Times New Roman" w:hAnsi="Times New Roman" w:cs="Times New Roman"/>
          <w:sz w:val="24"/>
          <w:szCs w:val="24"/>
          <w:lang w:eastAsia="bg-BG"/>
        </w:rPr>
        <w:t>Някои дейности са формулирани общо като „Реконструкция и ремонт на общинските пътища“ и „Подобряване качеството на услугите в туризма“, а други касаят конкретен обект като „Осигуряване на възможност за целогодишно използване на републикански път ІІ-35 в участъка на Троянския проход“ и „Развитие на курортно селище „Беклемето” като курорт с национално значение“.</w:t>
      </w:r>
    </w:p>
    <w:p w:rsidR="00164F51" w:rsidRDefault="00164F51" w:rsidP="003973B8">
      <w:pPr>
        <w:spacing w:after="0" w:line="360" w:lineRule="auto"/>
        <w:rPr>
          <w:rFonts w:ascii="Times New Roman" w:hAnsi="Times New Roman" w:cs="Times New Roman"/>
          <w:sz w:val="24"/>
          <w:szCs w:val="24"/>
        </w:rPr>
      </w:pPr>
    </w:p>
    <w:p w:rsidR="00F71668" w:rsidRDefault="00F71668" w:rsidP="0022382A">
      <w:pPr>
        <w:spacing w:after="0" w:line="360" w:lineRule="auto"/>
        <w:ind w:firstLine="680"/>
        <w:jc w:val="both"/>
        <w:rPr>
          <w:rFonts w:ascii="Times New Roman" w:eastAsia="Times New Roman" w:hAnsi="Times New Roman" w:cs="Times New Roman"/>
          <w:sz w:val="24"/>
          <w:szCs w:val="24"/>
          <w:lang w:eastAsia="bg-BG"/>
        </w:rPr>
      </w:pPr>
    </w:p>
    <w:p w:rsidR="0022382A" w:rsidRDefault="0022382A" w:rsidP="0022382A">
      <w:pPr>
        <w:spacing w:after="0" w:line="360" w:lineRule="auto"/>
        <w:ind w:firstLine="680"/>
        <w:jc w:val="both"/>
        <w:rPr>
          <w:rFonts w:ascii="Times New Roman" w:eastAsia="Times New Roman" w:hAnsi="Times New Roman" w:cs="Times New Roman"/>
          <w:sz w:val="24"/>
          <w:szCs w:val="24"/>
          <w:lang w:eastAsia="bg-BG"/>
        </w:rPr>
      </w:pPr>
    </w:p>
    <w:p w:rsidR="00F27428" w:rsidRDefault="00F27428">
      <w:pP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br w:type="page"/>
      </w:r>
    </w:p>
    <w:p w:rsidR="0022382A" w:rsidRDefault="0022382A" w:rsidP="0022382A">
      <w:pPr>
        <w:spacing w:after="0" w:line="360" w:lineRule="auto"/>
        <w:ind w:firstLine="680"/>
        <w:jc w:val="both"/>
        <w:rPr>
          <w:rFonts w:ascii="Times New Roman" w:eastAsia="Times New Roman" w:hAnsi="Times New Roman" w:cs="Times New Roman"/>
          <w:sz w:val="24"/>
          <w:szCs w:val="24"/>
          <w:lang w:eastAsia="bg-BG"/>
        </w:rPr>
      </w:pPr>
    </w:p>
    <w:p w:rsidR="00F27428" w:rsidRPr="00F27428" w:rsidRDefault="00F27428" w:rsidP="00F27428">
      <w:pPr>
        <w:pStyle w:val="Heading1"/>
        <w:numPr>
          <w:ilvl w:val="0"/>
          <w:numId w:val="11"/>
        </w:numPr>
        <w:spacing w:before="0" w:after="120" w:line="240" w:lineRule="auto"/>
        <w:rPr>
          <w:rFonts w:eastAsia="Times New Roman"/>
        </w:rPr>
      </w:pPr>
      <w:bookmarkStart w:id="17" w:name="_Toc510702806"/>
      <w:r w:rsidRPr="00F27428">
        <w:rPr>
          <w:rFonts w:eastAsia="Times New Roman"/>
        </w:rPr>
        <w:t>Оценка на ефективността и ефикасността на използваните ресурси</w:t>
      </w:r>
      <w:bookmarkEnd w:id="17"/>
    </w:p>
    <w:p w:rsidR="00F27428" w:rsidRDefault="00F27428" w:rsidP="00DB369E">
      <w:pPr>
        <w:spacing w:after="0" w:line="360" w:lineRule="auto"/>
        <w:ind w:firstLine="680"/>
        <w:jc w:val="both"/>
        <w:rPr>
          <w:rFonts w:ascii="Times New Roman" w:eastAsia="Times New Roman" w:hAnsi="Times New Roman" w:cs="Times New Roman"/>
          <w:sz w:val="24"/>
          <w:szCs w:val="24"/>
          <w:lang w:eastAsia="bg-BG"/>
        </w:rPr>
      </w:pPr>
    </w:p>
    <w:p w:rsidR="00E7781B" w:rsidRPr="0003118A" w:rsidRDefault="00E7781B" w:rsidP="00DB369E">
      <w:pPr>
        <w:spacing w:after="0" w:line="360" w:lineRule="auto"/>
        <w:ind w:firstLine="708"/>
        <w:jc w:val="both"/>
        <w:rPr>
          <w:rFonts w:ascii="Times New Roman" w:eastAsia="Calibri" w:hAnsi="Times New Roman" w:cs="Times New Roman"/>
          <w:sz w:val="24"/>
          <w:szCs w:val="24"/>
        </w:rPr>
      </w:pPr>
      <w:r w:rsidRPr="0003118A">
        <w:rPr>
          <w:rFonts w:ascii="Times New Roman" w:eastAsia="Calibri" w:hAnsi="Times New Roman" w:cs="Times New Roman"/>
          <w:sz w:val="24"/>
          <w:szCs w:val="24"/>
        </w:rPr>
        <w:t>Анализът на ефективността и ефикасността на използваните ресурси при изпълнение на ОСР Ловеч 2014-2020 е ключов елемент при формирането на настоящата междинна оценка. В стратегическата част на ОСР Ловеч са представени потенциалните източници на финансиране за всяка мярка по разработените приоритети. В анализа на използваните финансови ресурси са представени реалните източници, използвани за реализиране на дейности към средата на действие на стратегическия документ. Съгласно чл. 12, (3), т.3 на ЗРР</w:t>
      </w:r>
      <w:r>
        <w:rPr>
          <w:rFonts w:ascii="Times New Roman" w:eastAsia="Calibri" w:hAnsi="Times New Roman" w:cs="Times New Roman"/>
          <w:sz w:val="24"/>
          <w:szCs w:val="24"/>
        </w:rPr>
        <w:t>,</w:t>
      </w:r>
      <w:r w:rsidRPr="0003118A">
        <w:rPr>
          <w:rFonts w:ascii="Times New Roman" w:eastAsia="Calibri" w:hAnsi="Times New Roman" w:cs="Times New Roman"/>
          <w:sz w:val="24"/>
          <w:szCs w:val="24"/>
        </w:rPr>
        <w:t xml:space="preserve"> областната стратегия за развитие следва да съдържа обща оценка на необходимите ресурси за постигане целите на стратегията, но конкретна индикативна финансова рамка не е задължителна.</w:t>
      </w:r>
      <w:r>
        <w:rPr>
          <w:rFonts w:ascii="Times New Roman" w:eastAsia="Calibri" w:hAnsi="Times New Roman" w:cs="Times New Roman"/>
          <w:sz w:val="24"/>
          <w:szCs w:val="24"/>
          <w:lang w:val="en-US"/>
        </w:rPr>
        <w:t xml:space="preserve"> </w:t>
      </w:r>
      <w:r w:rsidRPr="0003118A">
        <w:rPr>
          <w:rFonts w:ascii="Times New Roman" w:eastAsia="Calibri" w:hAnsi="Times New Roman" w:cs="Times New Roman"/>
          <w:sz w:val="24"/>
          <w:szCs w:val="24"/>
        </w:rPr>
        <w:t xml:space="preserve">Поради тази причина извършената оценка представя реализираните ресурси без да се поставя конкретна оценка за нивото на изпълнение, поради липса на база за сравнение. </w:t>
      </w:r>
      <w:r>
        <w:rPr>
          <w:rFonts w:ascii="Times New Roman" w:eastAsia="Calibri" w:hAnsi="Times New Roman" w:cs="Times New Roman"/>
          <w:sz w:val="24"/>
          <w:szCs w:val="24"/>
        </w:rPr>
        <w:t>Индикативни подробни финансови рамки са разписани в ОПР на общините в област Ловеч.</w:t>
      </w:r>
      <w:r w:rsidRPr="0003118A">
        <w:rPr>
          <w:rFonts w:ascii="Times New Roman" w:eastAsia="Calibri" w:hAnsi="Times New Roman" w:cs="Times New Roman"/>
          <w:sz w:val="24"/>
          <w:szCs w:val="24"/>
        </w:rPr>
        <w:t xml:space="preserve"> </w:t>
      </w:r>
    </w:p>
    <w:p w:rsidR="00E7781B" w:rsidRDefault="00E7781B" w:rsidP="00DB369E">
      <w:pPr>
        <w:spacing w:after="0" w:line="360" w:lineRule="auto"/>
        <w:ind w:firstLine="708"/>
        <w:jc w:val="both"/>
        <w:rPr>
          <w:rFonts w:ascii="Times New Roman" w:eastAsia="Calibri" w:hAnsi="Times New Roman" w:cs="Times New Roman"/>
          <w:sz w:val="24"/>
          <w:szCs w:val="24"/>
        </w:rPr>
      </w:pPr>
      <w:r w:rsidRPr="0003118A">
        <w:rPr>
          <w:rFonts w:ascii="Times New Roman" w:eastAsia="Calibri" w:hAnsi="Times New Roman" w:cs="Times New Roman"/>
          <w:sz w:val="24"/>
          <w:szCs w:val="24"/>
        </w:rPr>
        <w:t>Настоящата експертна оценка на ефективността и ефикасността на използваните финансови средства към 2017 г. в област Ловеч се базира на анализираните данни, събрани от различни информационни източници, за извършените дейности и проекти, допринасящи за постигане на заложените стратегически цели и приоритети.</w:t>
      </w:r>
      <w:r w:rsidRPr="0003118A">
        <w:rPr>
          <w:rFonts w:ascii="Times New Roman" w:hAnsi="Times New Roman" w:cs="Times New Roman"/>
        </w:rPr>
        <w:t xml:space="preserve"> </w:t>
      </w:r>
      <w:r w:rsidRPr="0003118A">
        <w:rPr>
          <w:rFonts w:ascii="Times New Roman" w:eastAsia="Calibri" w:hAnsi="Times New Roman" w:cs="Times New Roman"/>
          <w:sz w:val="24"/>
          <w:szCs w:val="24"/>
        </w:rPr>
        <w:t>Основните източници за анализ на финансовите ресурси са  Информационна система за управление и наблюдение на Структурните инструменти на ЕС в България (ИСУН) за периода 2007-2013 и 2014-2020, официалните страници на оперативните програми, получени данни и справки от всички общински администрации в границите на област Ловеч, както и годишни доклади и междинни оценки за изпълнението на общинските планове.</w:t>
      </w:r>
      <w:r w:rsidRPr="00E52D90">
        <w:rPr>
          <w:rFonts w:ascii="Times New Roman" w:eastAsia="Calibri" w:hAnsi="Times New Roman" w:cs="Times New Roman"/>
          <w:sz w:val="24"/>
          <w:szCs w:val="24"/>
        </w:rPr>
        <w:t xml:space="preserve"> </w:t>
      </w:r>
    </w:p>
    <w:p w:rsidR="00E7781B" w:rsidRDefault="00E7781B" w:rsidP="00DB369E">
      <w:pPr>
        <w:spacing w:after="0" w:line="360" w:lineRule="auto"/>
        <w:ind w:firstLine="708"/>
        <w:jc w:val="both"/>
        <w:rPr>
          <w:rFonts w:ascii="Times New Roman" w:eastAsia="Calibri" w:hAnsi="Times New Roman" w:cs="Times New Roman"/>
          <w:sz w:val="24"/>
          <w:szCs w:val="24"/>
        </w:rPr>
      </w:pPr>
      <w:r w:rsidRPr="0003118A">
        <w:rPr>
          <w:rFonts w:ascii="Times New Roman" w:eastAsia="Calibri" w:hAnsi="Times New Roman" w:cs="Times New Roman"/>
          <w:sz w:val="24"/>
          <w:szCs w:val="24"/>
        </w:rPr>
        <w:t>За постигане на максимална обективност при обработване на финансовите данни, оценката представя реализираните финансови ресурси</w:t>
      </w:r>
      <w:r w:rsidRPr="0003118A">
        <w:rPr>
          <w:rFonts w:ascii="Times New Roman" w:eastAsia="Calibri" w:hAnsi="Times New Roman" w:cs="Times New Roman"/>
          <w:sz w:val="24"/>
          <w:szCs w:val="24"/>
          <w:lang w:val="en-US"/>
        </w:rPr>
        <w:t xml:space="preserve"> </w:t>
      </w:r>
      <w:r w:rsidRPr="0003118A">
        <w:rPr>
          <w:rFonts w:ascii="Times New Roman" w:eastAsia="Calibri" w:hAnsi="Times New Roman" w:cs="Times New Roman"/>
          <w:sz w:val="24"/>
          <w:szCs w:val="24"/>
        </w:rPr>
        <w:t>от приключили проекти подробно по всеки приоритет за периода 2014-2016, като те са представени общо в абсолютни стойности, както и като процентно съотношение спрямо различни критерии – разпределение по общини, по години и по източници на финансиране. За пълнота на оценката, събраните и обработени данни включват проекти реализирани както в програмен период 2007-201</w:t>
      </w:r>
      <w:r>
        <w:rPr>
          <w:rFonts w:ascii="Times New Roman" w:eastAsia="Calibri" w:hAnsi="Times New Roman" w:cs="Times New Roman"/>
          <w:sz w:val="24"/>
          <w:szCs w:val="24"/>
        </w:rPr>
        <w:t>3</w:t>
      </w:r>
      <w:r w:rsidRPr="0003118A">
        <w:rPr>
          <w:rFonts w:ascii="Times New Roman" w:eastAsia="Calibri" w:hAnsi="Times New Roman" w:cs="Times New Roman"/>
          <w:sz w:val="24"/>
          <w:szCs w:val="24"/>
        </w:rPr>
        <w:t xml:space="preserve"> с извършени плащания след 2014 г. (заради правилото </w:t>
      </w:r>
      <w:r w:rsidRPr="0003118A">
        <w:rPr>
          <w:rFonts w:ascii="Times New Roman" w:eastAsia="Calibri" w:hAnsi="Times New Roman" w:cs="Times New Roman"/>
          <w:sz w:val="24"/>
          <w:szCs w:val="24"/>
          <w:lang w:val="en-US"/>
        </w:rPr>
        <w:t>N</w:t>
      </w:r>
      <w:r w:rsidRPr="0003118A">
        <w:rPr>
          <w:rFonts w:ascii="Times New Roman" w:eastAsia="Calibri" w:hAnsi="Times New Roman" w:cs="Times New Roman"/>
          <w:sz w:val="24"/>
          <w:szCs w:val="24"/>
        </w:rPr>
        <w:t xml:space="preserve">+2), така и проекти от настоящия период 2014-2020. </w:t>
      </w:r>
      <w:r w:rsidRPr="00FC6E96">
        <w:rPr>
          <w:rFonts w:ascii="Times New Roman" w:eastAsia="Calibri" w:hAnsi="Times New Roman" w:cs="Times New Roman"/>
          <w:sz w:val="24"/>
          <w:szCs w:val="24"/>
        </w:rPr>
        <w:t>Проектите, които не са приключили към 01.01.2017г., за които в ИСУН 2014-2020 индикативно са разпределени средства за 2015 и 2016 г., са представени отделно, тъй като има възможност те да не са реализирани по индикативния план.</w:t>
      </w:r>
      <w:r w:rsidRPr="00E52D90">
        <w:rPr>
          <w:rFonts w:ascii="Times New Roman" w:eastAsia="Calibri" w:hAnsi="Times New Roman" w:cs="Times New Roman"/>
          <w:sz w:val="24"/>
          <w:szCs w:val="24"/>
        </w:rPr>
        <w:t xml:space="preserve"> </w:t>
      </w:r>
    </w:p>
    <w:p w:rsidR="00E7781B" w:rsidRDefault="00E7781B" w:rsidP="00DB369E">
      <w:pPr>
        <w:spacing w:after="0" w:line="360" w:lineRule="auto"/>
        <w:ind w:firstLine="708"/>
        <w:jc w:val="both"/>
        <w:rPr>
          <w:rFonts w:ascii="Times New Roman" w:eastAsia="Calibri" w:hAnsi="Times New Roman" w:cs="Times New Roman"/>
          <w:sz w:val="24"/>
          <w:szCs w:val="24"/>
        </w:rPr>
      </w:pPr>
      <w:r w:rsidRPr="0003118A">
        <w:rPr>
          <w:rFonts w:ascii="Times New Roman" w:eastAsia="Calibri" w:hAnsi="Times New Roman" w:cs="Times New Roman"/>
          <w:sz w:val="24"/>
          <w:szCs w:val="24"/>
        </w:rPr>
        <w:t>Основните заложени източници на финансиране в ОСР Ловеч са национално финансиране, общински бюджети, финансиране от международни институции и финансиране от страна на частния сектор.</w:t>
      </w:r>
      <w:r>
        <w:rPr>
          <w:rFonts w:ascii="Times New Roman" w:eastAsia="Calibri" w:hAnsi="Times New Roman" w:cs="Times New Roman"/>
          <w:sz w:val="24"/>
          <w:szCs w:val="24"/>
        </w:rPr>
        <w:t xml:space="preserve"> При представянето на разпределението по вид на източника на ресурсите, в оценката ресурсите са представени като европейски средства (представени и по оперативни програми, чрез които са усвоени), национален бюджет (включващ и националното съфинансиране по проекти, реализирани по оперативни програми), общински бюджет и категория „Други“, която включва частно финансиране, специализирани фондове и друго целенасочено финансиране.</w:t>
      </w:r>
    </w:p>
    <w:p w:rsidR="00E7781B" w:rsidRPr="007C077C" w:rsidRDefault="00E7781B" w:rsidP="00DB369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Събраните и обработени данни за използваните финансови ресурси за изпълнение на ОСР Ловеч 2014-2020 към 2017 г. показват, че те </w:t>
      </w:r>
      <w:r w:rsidRPr="00800C89">
        <w:rPr>
          <w:rFonts w:ascii="Times New Roman" w:eastAsia="Calibri" w:hAnsi="Times New Roman" w:cs="Times New Roman"/>
          <w:sz w:val="24"/>
          <w:szCs w:val="24"/>
        </w:rPr>
        <w:t xml:space="preserve">възлизат на 104 182 </w:t>
      </w:r>
      <w:r w:rsidR="00800C89" w:rsidRPr="00800C89">
        <w:rPr>
          <w:rFonts w:ascii="Times New Roman" w:eastAsia="Calibri" w:hAnsi="Times New Roman" w:cs="Times New Roman"/>
          <w:sz w:val="24"/>
          <w:szCs w:val="24"/>
        </w:rPr>
        <w:t>536</w:t>
      </w:r>
      <w:r w:rsidRPr="00800C89">
        <w:rPr>
          <w:rFonts w:ascii="Times New Roman" w:eastAsia="Calibri" w:hAnsi="Times New Roman" w:cs="Times New Roman"/>
          <w:sz w:val="24"/>
          <w:szCs w:val="24"/>
        </w:rPr>
        <w:t xml:space="preserve"> лв. Най</w:t>
      </w:r>
      <w:r>
        <w:rPr>
          <w:rFonts w:ascii="Times New Roman" w:eastAsia="Calibri" w:hAnsi="Times New Roman" w:cs="Times New Roman"/>
          <w:sz w:val="24"/>
          <w:szCs w:val="24"/>
        </w:rPr>
        <w:t xml:space="preserve">-голямата част от ресурсите – 87%, са реализирани за изпълнение на мерките, заложени в Приоритет 1 </w:t>
      </w:r>
      <w:r w:rsidR="00861938">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Развитие</w:t>
      </w:r>
      <w:r w:rsidR="008619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модернизация на инфраструктурата, създаваща условия за устойчиво развитие. Този приоритет е съсредоточил повечето ресурси, защото включва силно ресурсоемки дейности, докато останалите приоритети изпълняват т.нар. „меки мерки“, които предполагат по-малко вложение на финансови средства. За Приоритет 3 </w:t>
      </w:r>
      <w:r w:rsidR="00861938">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Повишаване</w:t>
      </w:r>
      <w:r w:rsidR="00861938">
        <w:rPr>
          <w:rFonts w:ascii="Times New Roman" w:eastAsia="Calibri" w:hAnsi="Times New Roman" w:cs="Times New Roman"/>
          <w:sz w:val="24"/>
          <w:szCs w:val="24"/>
        </w:rPr>
        <w:t xml:space="preserve"> </w:t>
      </w:r>
      <w:r w:rsidRPr="00B5721E">
        <w:rPr>
          <w:rFonts w:ascii="Times New Roman" w:eastAsia="Calibri" w:hAnsi="Times New Roman" w:cs="Times New Roman"/>
          <w:sz w:val="24"/>
          <w:szCs w:val="24"/>
        </w:rPr>
        <w:t>на конкурентоспособността на местната икономика за постигане на икономически растеж и заетост</w:t>
      </w:r>
      <w:r>
        <w:rPr>
          <w:rFonts w:ascii="Times New Roman" w:eastAsia="Calibri" w:hAnsi="Times New Roman" w:cs="Times New Roman"/>
          <w:sz w:val="24"/>
          <w:szCs w:val="24"/>
        </w:rPr>
        <w:t xml:space="preserve"> са привлечени 9% от общо реализираните средства. Най-малко финансови ресурси са реализирани за постигането на Приоритет 2 </w:t>
      </w:r>
      <w:r w:rsidRPr="00D34628">
        <w:rPr>
          <w:rFonts w:ascii="Times New Roman" w:eastAsia="Calibri" w:hAnsi="Times New Roman" w:cs="Times New Roman"/>
          <w:sz w:val="24"/>
          <w:szCs w:val="24"/>
        </w:rPr>
        <w:t>Развитие на човешкия капитал и местните общности</w:t>
      </w:r>
      <w:r>
        <w:rPr>
          <w:rFonts w:ascii="Times New Roman" w:eastAsia="Calibri" w:hAnsi="Times New Roman" w:cs="Times New Roman"/>
          <w:sz w:val="24"/>
          <w:szCs w:val="24"/>
        </w:rPr>
        <w:t xml:space="preserve"> и Приоритет</w:t>
      </w:r>
      <w:r w:rsidRPr="00D34628">
        <w:t xml:space="preserve"> </w:t>
      </w:r>
      <w:r w:rsidRPr="00D34628">
        <w:rPr>
          <w:rFonts w:ascii="Times New Roman" w:eastAsia="Calibri" w:hAnsi="Times New Roman" w:cs="Times New Roman"/>
          <w:sz w:val="24"/>
          <w:szCs w:val="24"/>
        </w:rPr>
        <w:t>4 Устойчиво развитие на конкурентоспособно селско и горско стопанство</w:t>
      </w:r>
      <w:r>
        <w:rPr>
          <w:rFonts w:ascii="Times New Roman" w:eastAsia="Calibri" w:hAnsi="Times New Roman" w:cs="Times New Roman"/>
          <w:sz w:val="24"/>
          <w:szCs w:val="24"/>
        </w:rPr>
        <w:t xml:space="preserve">. </w:t>
      </w:r>
    </w:p>
    <w:p w:rsidR="00E7781B" w:rsidRDefault="00E7781B" w:rsidP="00E7781B">
      <w:pPr>
        <w:spacing w:line="360" w:lineRule="auto"/>
        <w:ind w:firstLine="708"/>
        <w:jc w:val="both"/>
        <w:rPr>
          <w:rFonts w:ascii="Times New Roman" w:eastAsia="Calibri" w:hAnsi="Times New Roman" w:cs="Times New Roman"/>
          <w:sz w:val="24"/>
          <w:szCs w:val="24"/>
        </w:rPr>
      </w:pPr>
    </w:p>
    <w:p w:rsidR="00E7781B" w:rsidRDefault="00E7781B" w:rsidP="00E7781B">
      <w:pPr>
        <w:spacing w:line="360" w:lineRule="auto"/>
        <w:ind w:firstLine="708"/>
        <w:jc w:val="both"/>
        <w:rPr>
          <w:rFonts w:ascii="Times New Roman" w:eastAsia="Calibri" w:hAnsi="Times New Roman" w:cs="Times New Roman"/>
          <w:sz w:val="24"/>
          <w:szCs w:val="24"/>
        </w:rPr>
      </w:pPr>
    </w:p>
    <w:p w:rsidR="00E7781B" w:rsidRDefault="00E7781B" w:rsidP="00E7781B">
      <w:pPr>
        <w:spacing w:line="360" w:lineRule="auto"/>
        <w:ind w:firstLine="708"/>
        <w:jc w:val="both"/>
        <w:rPr>
          <w:rFonts w:ascii="Times New Roman" w:eastAsia="Calibri" w:hAnsi="Times New Roman" w:cs="Times New Roman"/>
          <w:sz w:val="24"/>
          <w:szCs w:val="24"/>
        </w:rPr>
      </w:pPr>
    </w:p>
    <w:p w:rsidR="00E7781B" w:rsidRDefault="00E7781B" w:rsidP="00E7781B">
      <w:pPr>
        <w:spacing w:line="360" w:lineRule="auto"/>
        <w:ind w:firstLine="708"/>
        <w:jc w:val="both"/>
        <w:rPr>
          <w:rFonts w:ascii="Times New Roman" w:eastAsia="Calibri" w:hAnsi="Times New Roman" w:cs="Times New Roman"/>
          <w:sz w:val="24"/>
          <w:szCs w:val="24"/>
        </w:rPr>
      </w:pPr>
    </w:p>
    <w:p w:rsidR="00E7781B" w:rsidRDefault="00E7781B" w:rsidP="00E7781B">
      <w:pPr>
        <w:spacing w:line="360" w:lineRule="auto"/>
        <w:ind w:firstLine="708"/>
        <w:jc w:val="both"/>
        <w:rPr>
          <w:rFonts w:ascii="Times New Roman" w:eastAsia="Calibri" w:hAnsi="Times New Roman" w:cs="Times New Roman"/>
          <w:sz w:val="24"/>
          <w:szCs w:val="24"/>
        </w:rPr>
      </w:pPr>
    </w:p>
    <w:p w:rsidR="00E7781B" w:rsidRDefault="00E7781B" w:rsidP="00E7781B">
      <w:pPr>
        <w:spacing w:line="360" w:lineRule="auto"/>
        <w:ind w:firstLine="708"/>
        <w:jc w:val="both"/>
        <w:rPr>
          <w:rFonts w:ascii="Times New Roman" w:eastAsia="Calibri" w:hAnsi="Times New Roman" w:cs="Times New Roman"/>
          <w:sz w:val="24"/>
          <w:szCs w:val="24"/>
        </w:rPr>
      </w:pPr>
    </w:p>
    <w:p w:rsidR="00E7781B" w:rsidRDefault="00E7781B" w:rsidP="00E7781B">
      <w:pPr>
        <w:spacing w:line="360" w:lineRule="auto"/>
        <w:ind w:firstLine="708"/>
        <w:jc w:val="both"/>
        <w:rPr>
          <w:rFonts w:ascii="Times New Roman" w:eastAsia="Calibri" w:hAnsi="Times New Roman" w:cs="Times New Roman"/>
          <w:sz w:val="24"/>
          <w:szCs w:val="24"/>
        </w:rPr>
      </w:pPr>
    </w:p>
    <w:p w:rsidR="00DB369E" w:rsidRDefault="00DB369E" w:rsidP="00E7781B">
      <w:pPr>
        <w:spacing w:line="360" w:lineRule="auto"/>
        <w:ind w:firstLine="708"/>
        <w:jc w:val="both"/>
        <w:rPr>
          <w:rFonts w:ascii="Times New Roman" w:hAnsi="Times New Roman" w:cs="Times New Roman"/>
        </w:rPr>
      </w:pPr>
    </w:p>
    <w:p w:rsidR="00DB369E" w:rsidRDefault="00DB369E" w:rsidP="00E7781B">
      <w:pPr>
        <w:spacing w:line="360" w:lineRule="auto"/>
        <w:ind w:firstLine="708"/>
        <w:jc w:val="both"/>
        <w:rPr>
          <w:rFonts w:ascii="Times New Roman" w:hAnsi="Times New Roman" w:cs="Times New Roman"/>
        </w:rPr>
      </w:pPr>
    </w:p>
    <w:p w:rsidR="00E7781B" w:rsidRPr="0003118A" w:rsidRDefault="00E7781B" w:rsidP="00E7781B">
      <w:pPr>
        <w:spacing w:line="360" w:lineRule="auto"/>
        <w:ind w:firstLine="708"/>
        <w:jc w:val="both"/>
        <w:rPr>
          <w:rFonts w:ascii="Times New Roman" w:hAnsi="Times New Roman" w:cs="Times New Roman"/>
        </w:rPr>
      </w:pPr>
      <w:r>
        <w:rPr>
          <w:noProof/>
          <w:lang w:eastAsia="bg-BG"/>
        </w:rPr>
        <w:drawing>
          <wp:inline distT="0" distB="0" distL="0" distR="0" wp14:anchorId="773E818B" wp14:editId="33FCB718">
            <wp:extent cx="5453063" cy="4795838"/>
            <wp:effectExtent l="0" t="0" r="14605"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369E" w:rsidRPr="00C17917" w:rsidRDefault="00C17917" w:rsidP="00C17917">
      <w:pPr>
        <w:pStyle w:val="Caption"/>
        <w:jc w:val="center"/>
        <w:rPr>
          <w:rFonts w:ascii="Times New Roman" w:hAnsi="Times New Roman" w:cs="Times New Roman"/>
          <w:b w:val="0"/>
          <w:i/>
          <w:color w:val="000000" w:themeColor="text1"/>
          <w:sz w:val="24"/>
          <w:szCs w:val="24"/>
        </w:rPr>
      </w:pPr>
      <w:bookmarkStart w:id="18" w:name="_Toc510702857"/>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11</w:t>
      </w:r>
      <w:r w:rsidRPr="00C17917">
        <w:rPr>
          <w:rFonts w:ascii="Times New Roman" w:hAnsi="Times New Roman" w:cs="Times New Roman"/>
          <w:b w:val="0"/>
          <w:i/>
          <w:color w:val="000000" w:themeColor="text1"/>
          <w:sz w:val="24"/>
          <w:szCs w:val="24"/>
        </w:rPr>
        <w:fldChar w:fldCharType="end"/>
      </w:r>
      <w:r w:rsidR="00DB369E" w:rsidRPr="00C17917">
        <w:rPr>
          <w:rFonts w:ascii="Times New Roman" w:hAnsi="Times New Roman" w:cs="Times New Roman"/>
          <w:b w:val="0"/>
          <w:i/>
          <w:color w:val="000000" w:themeColor="text1"/>
          <w:sz w:val="24"/>
          <w:szCs w:val="24"/>
        </w:rPr>
        <w:t xml:space="preserve"> Разпределение на финансовите ресурси по приоритети към 2017 г.</w:t>
      </w:r>
      <w:bookmarkEnd w:id="18"/>
    </w:p>
    <w:p w:rsidR="00DB369E" w:rsidRDefault="00DB369E" w:rsidP="00E7781B">
      <w:pPr>
        <w:pStyle w:val="Heading1"/>
        <w:rPr>
          <w:rFonts w:ascii="Times New Roman" w:hAnsi="Times New Roman" w:cs="Times New Roman"/>
        </w:rPr>
      </w:pPr>
    </w:p>
    <w:p w:rsidR="00E7781B" w:rsidRPr="0003118A" w:rsidRDefault="00E7781B" w:rsidP="00E7781B">
      <w:pPr>
        <w:pStyle w:val="Heading1"/>
        <w:rPr>
          <w:rFonts w:ascii="Times New Roman" w:hAnsi="Times New Roman" w:cs="Times New Roman"/>
        </w:rPr>
      </w:pPr>
      <w:bookmarkStart w:id="19" w:name="_Toc510702807"/>
      <w:r w:rsidRPr="0003118A">
        <w:rPr>
          <w:rFonts w:ascii="Times New Roman" w:hAnsi="Times New Roman" w:cs="Times New Roman"/>
        </w:rPr>
        <w:t xml:space="preserve">ПРИОРИТЕТ </w:t>
      </w:r>
      <w:r>
        <w:rPr>
          <w:rFonts w:ascii="Times New Roman" w:hAnsi="Times New Roman" w:cs="Times New Roman"/>
        </w:rPr>
        <w:t xml:space="preserve">1 </w:t>
      </w:r>
      <w:r w:rsidRPr="0003118A">
        <w:rPr>
          <w:rFonts w:ascii="Times New Roman" w:hAnsi="Times New Roman" w:cs="Times New Roman"/>
        </w:rPr>
        <w:t>Развитие и модернизация на инфраструктурата, създаваща условия за устойчиво развитие</w:t>
      </w:r>
      <w:bookmarkEnd w:id="19"/>
    </w:p>
    <w:p w:rsidR="00E7781B" w:rsidRPr="0078251A" w:rsidRDefault="00E7781B" w:rsidP="00E7781B">
      <w:pPr>
        <w:widowControl w:val="0"/>
        <w:autoSpaceDE w:val="0"/>
        <w:autoSpaceDN w:val="0"/>
        <w:adjustRightInd w:val="0"/>
        <w:spacing w:after="0" w:line="360" w:lineRule="auto"/>
        <w:jc w:val="both"/>
        <w:rPr>
          <w:rFonts w:ascii="Times New Roman" w:hAnsi="Times New Roman" w:cs="Times New Roman"/>
          <w:b/>
          <w:sz w:val="24"/>
          <w:szCs w:val="24"/>
        </w:rPr>
      </w:pPr>
      <w:r w:rsidRPr="0078251A">
        <w:rPr>
          <w:rFonts w:ascii="Times New Roman" w:hAnsi="Times New Roman" w:cs="Times New Roman"/>
          <w:b/>
          <w:sz w:val="24"/>
          <w:szCs w:val="24"/>
        </w:rPr>
        <w:t>Общо реализирани финансови ресурси: 91 222 013 лв.</w:t>
      </w:r>
    </w:p>
    <w:p w:rsidR="00E7781B" w:rsidRDefault="00E7781B" w:rsidP="00E7781B">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E7781B" w:rsidRDefault="00E7781B" w:rsidP="00E7781B">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w:t>
      </w:r>
      <w:r w:rsidRPr="0065567B">
        <w:rPr>
          <w:rFonts w:ascii="Times New Roman" w:hAnsi="Times New Roman" w:cs="Times New Roman"/>
          <w:sz w:val="24"/>
          <w:szCs w:val="24"/>
        </w:rPr>
        <w:t>Приоритет 1 Развитие и модернизация на инфраструктурата, създаваща условия за устойчиво развитие</w:t>
      </w:r>
      <w:r>
        <w:rPr>
          <w:rFonts w:ascii="Times New Roman" w:hAnsi="Times New Roman" w:cs="Times New Roman"/>
          <w:sz w:val="24"/>
          <w:szCs w:val="24"/>
        </w:rPr>
        <w:t>, за периода 2014-2016 година, са привлечени и реализирани значителни финансови ресурси, възлизащи на над 91 млн. лв.</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Отчетени са изпълнени проекти във всички общини в областта. Най-голяма част от средствата са използвани за изпълнението на проекти и дейности, свързани с подобряване на инфраструктурата на територията на община Луковит – 39%. Най-значителният като стойност проект в тази община е </w:t>
      </w:r>
      <w:r w:rsidRPr="00AB4D52">
        <w:rPr>
          <w:rFonts w:ascii="Times New Roman" w:hAnsi="Times New Roman" w:cs="Times New Roman"/>
          <w:sz w:val="24"/>
          <w:szCs w:val="24"/>
        </w:rPr>
        <w:t>Интегриран проект за подобряване на водния сектор в град Луковит</w:t>
      </w:r>
      <w:r>
        <w:rPr>
          <w:rFonts w:ascii="Times New Roman" w:hAnsi="Times New Roman" w:cs="Times New Roman"/>
          <w:sz w:val="24"/>
          <w:szCs w:val="24"/>
        </w:rPr>
        <w:t xml:space="preserve"> с общ бюджет от над 27 млн. лв. На територията на община Троян също са реализирани значителни финансови ресурси по този приоритет, възлизащи на 29%. На територията на Община Ловеч са привлечени 14%, от средствата в областта, за подобряване на инфраструктура. Най-малък процент финанси по Приоритет 1 са отчетени в община Априлци.</w:t>
      </w:r>
    </w:p>
    <w:p w:rsidR="00EF0C5F" w:rsidRPr="00AB4D52" w:rsidRDefault="00EF0C5F" w:rsidP="00E7781B">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E7781B"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r>
        <w:rPr>
          <w:noProof/>
          <w:lang w:eastAsia="bg-BG"/>
        </w:rPr>
        <w:drawing>
          <wp:inline distT="0" distB="0" distL="0" distR="0" wp14:anchorId="65E0DED6" wp14:editId="7ED19639">
            <wp:extent cx="5972810" cy="3954780"/>
            <wp:effectExtent l="0" t="0" r="889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F0C5F" w:rsidRPr="00C17917" w:rsidRDefault="00C17917" w:rsidP="00C17917">
      <w:pPr>
        <w:pStyle w:val="Caption"/>
        <w:jc w:val="center"/>
        <w:rPr>
          <w:rFonts w:ascii="Times New Roman" w:hAnsi="Times New Roman" w:cs="Times New Roman"/>
          <w:b w:val="0"/>
          <w:i/>
          <w:color w:val="000000" w:themeColor="text1"/>
          <w:sz w:val="24"/>
          <w:szCs w:val="24"/>
        </w:rPr>
      </w:pPr>
      <w:bookmarkStart w:id="20" w:name="_Toc510702858"/>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12</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EF0C5F" w:rsidRPr="00C17917">
        <w:rPr>
          <w:rFonts w:ascii="Times New Roman" w:hAnsi="Times New Roman" w:cs="Times New Roman"/>
          <w:b w:val="0"/>
          <w:i/>
          <w:color w:val="000000" w:themeColor="text1"/>
          <w:sz w:val="24"/>
          <w:szCs w:val="24"/>
        </w:rPr>
        <w:t>Приоритет 1: Разпределение на финансови ресурси по общини</w:t>
      </w:r>
      <w:bookmarkEnd w:id="20"/>
    </w:p>
    <w:p w:rsidR="00E7781B" w:rsidRDefault="00E7781B" w:rsidP="00E7781B">
      <w:pPr>
        <w:spacing w:line="360" w:lineRule="auto"/>
        <w:jc w:val="both"/>
        <w:rPr>
          <w:rFonts w:ascii="Times New Roman" w:hAnsi="Times New Roman" w:cs="Times New Roman"/>
          <w:b/>
          <w:sz w:val="24"/>
          <w:szCs w:val="24"/>
        </w:rPr>
      </w:pPr>
    </w:p>
    <w:p w:rsidR="00E7781B" w:rsidRDefault="00E7781B" w:rsidP="00E7781B">
      <w:pPr>
        <w:spacing w:line="360" w:lineRule="auto"/>
        <w:jc w:val="both"/>
        <w:rPr>
          <w:rFonts w:ascii="Times New Roman" w:hAnsi="Times New Roman" w:cs="Times New Roman"/>
          <w:sz w:val="24"/>
          <w:szCs w:val="24"/>
        </w:rPr>
      </w:pPr>
      <w:r>
        <w:rPr>
          <w:rFonts w:ascii="Times New Roman" w:hAnsi="Times New Roman" w:cs="Times New Roman"/>
          <w:sz w:val="24"/>
          <w:szCs w:val="24"/>
        </w:rPr>
        <w:tab/>
        <w:t>Анализът на събраните и обработени данни относно разпределението на финансовите ресурси по години показва, че през 2014 г. са реализирани 72% от общите средства по Приоритет 1. През 2015 г. те са 28%. Това се обуславя от финализирането и извършването на плащания по значителни инфраструктурни проекти, финансирани по оперативни програми от програмен период 2007-2013 г. Това са проекти възлизащи на стойност над 57 млн. лв. През 2016 г. са отчетени под 1% от общо реализираните средства. Това се дължи на факта, че много проекти от програмен период 2014-2020 са започнати през тази година, а плащанията по тях са реализирани по-късно.</w:t>
      </w:r>
    </w:p>
    <w:p w:rsidR="00E7781B" w:rsidRPr="008B67C5" w:rsidRDefault="00E7781B" w:rsidP="00E7781B">
      <w:pPr>
        <w:spacing w:line="360" w:lineRule="auto"/>
        <w:jc w:val="both"/>
        <w:rPr>
          <w:rFonts w:ascii="Times New Roman" w:hAnsi="Times New Roman" w:cs="Times New Roman"/>
          <w:sz w:val="24"/>
          <w:szCs w:val="24"/>
        </w:rPr>
      </w:pPr>
    </w:p>
    <w:p w:rsidR="00E7781B" w:rsidRDefault="00E7781B" w:rsidP="00E7781B">
      <w:pPr>
        <w:spacing w:line="360" w:lineRule="auto"/>
        <w:jc w:val="center"/>
        <w:rPr>
          <w:rFonts w:ascii="Times New Roman" w:hAnsi="Times New Roman" w:cs="Times New Roman"/>
          <w:b/>
          <w:sz w:val="24"/>
          <w:szCs w:val="24"/>
        </w:rPr>
      </w:pPr>
      <w:r>
        <w:rPr>
          <w:noProof/>
          <w:lang w:eastAsia="bg-BG"/>
        </w:rPr>
        <w:drawing>
          <wp:inline distT="0" distB="0" distL="0" distR="0" wp14:anchorId="7B368495" wp14:editId="75895511">
            <wp:extent cx="4457700" cy="29051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F0C5F" w:rsidRPr="00C17917" w:rsidRDefault="00C17917" w:rsidP="00C17917">
      <w:pPr>
        <w:pStyle w:val="Caption"/>
        <w:jc w:val="center"/>
        <w:rPr>
          <w:rFonts w:ascii="Times New Roman" w:hAnsi="Times New Roman" w:cs="Times New Roman"/>
          <w:b w:val="0"/>
          <w:i/>
          <w:color w:val="000000" w:themeColor="text1"/>
          <w:sz w:val="24"/>
          <w:szCs w:val="24"/>
        </w:rPr>
      </w:pPr>
      <w:bookmarkStart w:id="21" w:name="_Toc510702859"/>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13</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EF0C5F" w:rsidRPr="00C17917">
        <w:rPr>
          <w:rFonts w:ascii="Times New Roman" w:hAnsi="Times New Roman" w:cs="Times New Roman"/>
          <w:b w:val="0"/>
          <w:i/>
          <w:color w:val="000000" w:themeColor="text1"/>
          <w:sz w:val="24"/>
          <w:szCs w:val="24"/>
        </w:rPr>
        <w:t>Приоритет 1 Разпределение на финансовите ресурси по години</w:t>
      </w:r>
      <w:bookmarkEnd w:id="21"/>
    </w:p>
    <w:p w:rsidR="00E7781B" w:rsidRDefault="00E7781B" w:rsidP="00E7781B">
      <w:pPr>
        <w:spacing w:line="360" w:lineRule="auto"/>
        <w:jc w:val="both"/>
        <w:rPr>
          <w:rFonts w:ascii="Times New Roman" w:hAnsi="Times New Roman" w:cs="Times New Roman"/>
          <w:sz w:val="24"/>
          <w:szCs w:val="24"/>
        </w:rPr>
      </w:pPr>
    </w:p>
    <w:p w:rsidR="00E7781B" w:rsidRDefault="00E7781B" w:rsidP="00E778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Фигурата по-долу представя разпределението на усвоените финансови ресурси за изпълнение на ОСР Ловеч по вид на източника. Най-значително финансиране е получено от европейските фондове, чрез оперативни програми, като над 34 млн. лв. или 38% от общите средства по този приоритет са усвоени от Оперативна програма Околна среда. Най-значителни са именно проектите свързани с водния цикъл на дадени общини. Значителни средства са осигурени и от националния бюджет – над 25 млн. лв. Те са реализирани както за изпълнението на проекти по национални програми, така и като съфинансиране на проекти, изпълнявани по оперативните програми. Европейски средства са усвоени чрез ПРСП и ОПРР – съответно 18% и 12% от общо реализираните средства по приоритет 1. Общинските бюджети също са допринесли за реализацията на проекти и дейности, свързани с подобряване на инфраструктурата, с над 1 млн. лв.</w:t>
      </w:r>
    </w:p>
    <w:p w:rsidR="00E7781B" w:rsidRDefault="00E7781B" w:rsidP="00E7781B">
      <w:pPr>
        <w:spacing w:line="360" w:lineRule="auto"/>
        <w:ind w:firstLine="720"/>
        <w:jc w:val="both"/>
        <w:rPr>
          <w:rFonts w:ascii="Times New Roman" w:hAnsi="Times New Roman" w:cs="Times New Roman"/>
          <w:sz w:val="24"/>
          <w:szCs w:val="24"/>
        </w:rPr>
      </w:pPr>
    </w:p>
    <w:p w:rsidR="00E7781B" w:rsidRDefault="00E7781B" w:rsidP="00E7781B">
      <w:pPr>
        <w:spacing w:line="360" w:lineRule="auto"/>
        <w:ind w:firstLine="720"/>
        <w:jc w:val="both"/>
        <w:rPr>
          <w:rFonts w:ascii="Times New Roman" w:hAnsi="Times New Roman" w:cs="Times New Roman"/>
          <w:sz w:val="24"/>
          <w:szCs w:val="24"/>
          <w:highlight w:val="yellow"/>
        </w:rPr>
      </w:pPr>
    </w:p>
    <w:p w:rsidR="00E7781B" w:rsidRDefault="00E7781B" w:rsidP="00E7781B">
      <w:pPr>
        <w:spacing w:line="360" w:lineRule="auto"/>
        <w:ind w:firstLine="720"/>
        <w:jc w:val="both"/>
        <w:rPr>
          <w:rFonts w:ascii="Times New Roman" w:hAnsi="Times New Roman" w:cs="Times New Roman"/>
          <w:sz w:val="24"/>
          <w:szCs w:val="24"/>
          <w:highlight w:val="yellow"/>
        </w:rPr>
      </w:pPr>
    </w:p>
    <w:p w:rsidR="00E7781B" w:rsidRDefault="00E7781B" w:rsidP="00E7781B">
      <w:pPr>
        <w:spacing w:line="360" w:lineRule="auto"/>
        <w:ind w:firstLine="720"/>
        <w:jc w:val="both"/>
        <w:rPr>
          <w:rFonts w:ascii="Times New Roman" w:hAnsi="Times New Roman" w:cs="Times New Roman"/>
          <w:sz w:val="24"/>
          <w:szCs w:val="24"/>
          <w:highlight w:val="yellow"/>
        </w:rPr>
      </w:pPr>
    </w:p>
    <w:p w:rsidR="00E7781B" w:rsidRDefault="00E7781B" w:rsidP="00E7781B">
      <w:pPr>
        <w:spacing w:line="360" w:lineRule="auto"/>
        <w:ind w:firstLine="720"/>
        <w:jc w:val="both"/>
        <w:rPr>
          <w:rFonts w:ascii="Times New Roman" w:hAnsi="Times New Roman" w:cs="Times New Roman"/>
          <w:sz w:val="24"/>
          <w:szCs w:val="24"/>
          <w:highlight w:val="yellow"/>
        </w:rPr>
      </w:pPr>
    </w:p>
    <w:p w:rsidR="00E7781B" w:rsidRPr="0003118A"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r>
        <w:rPr>
          <w:noProof/>
          <w:lang w:eastAsia="bg-BG"/>
        </w:rPr>
        <w:drawing>
          <wp:inline distT="0" distB="0" distL="0" distR="0" wp14:anchorId="309160A4" wp14:editId="543549F8">
            <wp:extent cx="5972810" cy="4323080"/>
            <wp:effectExtent l="0" t="0" r="8890" b="12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F0C5F" w:rsidRPr="00C17917" w:rsidRDefault="00C17917" w:rsidP="00C17917">
      <w:pPr>
        <w:pStyle w:val="Caption"/>
        <w:jc w:val="center"/>
        <w:rPr>
          <w:rFonts w:ascii="Times New Roman" w:hAnsi="Times New Roman" w:cs="Times New Roman"/>
          <w:b w:val="0"/>
          <w:i/>
          <w:color w:val="000000" w:themeColor="text1"/>
          <w:sz w:val="24"/>
          <w:szCs w:val="24"/>
        </w:rPr>
      </w:pPr>
      <w:bookmarkStart w:id="22" w:name="_Toc510702860"/>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14</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EF0C5F" w:rsidRPr="00C17917">
        <w:rPr>
          <w:rFonts w:ascii="Times New Roman" w:hAnsi="Times New Roman" w:cs="Times New Roman"/>
          <w:b w:val="0"/>
          <w:i/>
          <w:color w:val="000000" w:themeColor="text1"/>
          <w:sz w:val="24"/>
          <w:szCs w:val="24"/>
        </w:rPr>
        <w:t>Приоритет 1: Разпределение на финансовите ресурси по източник</w:t>
      </w:r>
      <w:bookmarkEnd w:id="22"/>
    </w:p>
    <w:p w:rsidR="00EF0C5F" w:rsidRDefault="00EF0C5F" w:rsidP="00E7781B">
      <w:pPr>
        <w:pStyle w:val="Heading1"/>
        <w:rPr>
          <w:rFonts w:ascii="Times New Roman" w:hAnsi="Times New Roman" w:cs="Times New Roman"/>
        </w:rPr>
      </w:pPr>
    </w:p>
    <w:p w:rsidR="00E7781B" w:rsidRPr="0003118A" w:rsidRDefault="00E7781B" w:rsidP="00E7781B">
      <w:pPr>
        <w:pStyle w:val="Heading1"/>
        <w:rPr>
          <w:rFonts w:ascii="Times New Roman" w:hAnsi="Times New Roman" w:cs="Times New Roman"/>
        </w:rPr>
      </w:pPr>
      <w:bookmarkStart w:id="23" w:name="_Toc510702808"/>
      <w:r w:rsidRPr="0003118A">
        <w:rPr>
          <w:rFonts w:ascii="Times New Roman" w:hAnsi="Times New Roman" w:cs="Times New Roman"/>
        </w:rPr>
        <w:t>ПРИОРИТЕТ 2  Развитие на човешкия капитал и местните общности</w:t>
      </w:r>
      <w:bookmarkEnd w:id="23"/>
      <w:r w:rsidRPr="0003118A">
        <w:rPr>
          <w:rFonts w:ascii="Times New Roman" w:hAnsi="Times New Roman" w:cs="Times New Roman"/>
        </w:rPr>
        <w:t xml:space="preserve"> </w:t>
      </w:r>
    </w:p>
    <w:p w:rsidR="00E7781B" w:rsidRDefault="00E7781B" w:rsidP="00E7781B">
      <w:pPr>
        <w:spacing w:line="360" w:lineRule="auto"/>
        <w:jc w:val="both"/>
        <w:rPr>
          <w:rFonts w:ascii="Times New Roman" w:hAnsi="Times New Roman" w:cs="Times New Roman"/>
          <w:b/>
          <w:sz w:val="24"/>
          <w:szCs w:val="24"/>
        </w:rPr>
      </w:pPr>
      <w:r w:rsidRPr="0078251A">
        <w:rPr>
          <w:rFonts w:ascii="Times New Roman" w:hAnsi="Times New Roman" w:cs="Times New Roman"/>
          <w:b/>
          <w:sz w:val="24"/>
          <w:szCs w:val="24"/>
        </w:rPr>
        <w:t>Общо реализирани финансови ресурси:</w:t>
      </w:r>
      <w:r w:rsidRPr="00B64E6C">
        <w:t xml:space="preserve"> </w:t>
      </w:r>
      <w:r w:rsidRPr="00B64E6C">
        <w:rPr>
          <w:rFonts w:ascii="Times New Roman" w:hAnsi="Times New Roman" w:cs="Times New Roman"/>
          <w:b/>
          <w:sz w:val="24"/>
          <w:szCs w:val="24"/>
        </w:rPr>
        <w:t>3 794</w:t>
      </w:r>
      <w:r>
        <w:rPr>
          <w:rFonts w:ascii="Times New Roman" w:hAnsi="Times New Roman" w:cs="Times New Roman"/>
          <w:b/>
          <w:sz w:val="24"/>
          <w:szCs w:val="24"/>
        </w:rPr>
        <w:t> </w:t>
      </w:r>
      <w:r w:rsidRPr="00B64E6C">
        <w:rPr>
          <w:rFonts w:ascii="Times New Roman" w:hAnsi="Times New Roman" w:cs="Times New Roman"/>
          <w:b/>
          <w:sz w:val="24"/>
          <w:szCs w:val="24"/>
        </w:rPr>
        <w:t>982</w:t>
      </w:r>
      <w:r>
        <w:rPr>
          <w:rFonts w:ascii="Times New Roman" w:hAnsi="Times New Roman" w:cs="Times New Roman"/>
          <w:b/>
          <w:sz w:val="24"/>
          <w:szCs w:val="24"/>
        </w:rPr>
        <w:t xml:space="preserve"> лв.</w:t>
      </w:r>
    </w:p>
    <w:p w:rsidR="00E7781B" w:rsidRDefault="00E7781B" w:rsidP="00EF0C5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D7517">
        <w:rPr>
          <w:rFonts w:ascii="Times New Roman" w:hAnsi="Times New Roman" w:cs="Times New Roman"/>
          <w:sz w:val="24"/>
          <w:szCs w:val="24"/>
        </w:rPr>
        <w:t>За проекти</w:t>
      </w:r>
      <w:r>
        <w:rPr>
          <w:rFonts w:ascii="Times New Roman" w:hAnsi="Times New Roman" w:cs="Times New Roman"/>
          <w:sz w:val="24"/>
          <w:szCs w:val="24"/>
        </w:rPr>
        <w:t xml:space="preserve"> и дейности, свързани с развитието на човешкия капитал и местните общности по Приоритет 2 в област Ловеч са отчетени реализирани средства, възлизащи на 3 794 982 лв. Реализирани са многобройни проекти във всички общини на територията на областта, </w:t>
      </w:r>
      <w:r w:rsidRPr="00CA71FA">
        <w:rPr>
          <w:rFonts w:ascii="Times New Roman" w:hAnsi="Times New Roman" w:cs="Times New Roman"/>
          <w:sz w:val="24"/>
          <w:szCs w:val="24"/>
        </w:rPr>
        <w:t>като няколко проекта са изпълнени</w:t>
      </w:r>
      <w:r>
        <w:rPr>
          <w:rFonts w:ascii="Times New Roman" w:hAnsi="Times New Roman" w:cs="Times New Roman"/>
          <w:sz w:val="24"/>
          <w:szCs w:val="24"/>
        </w:rPr>
        <w:t xml:space="preserve"> съвместно между няколко общини. Общо използваните финансови ресурси за този приоритет са значително по-малко в абсолютни стойности спрямо приоритет 1 поради това, че проектите и дейностите за развитие на човешкия капитал и общности изпълняват „меки мерки“, които не са ресурсоемки. Финансиране на дейности по този приоритет са получили не само общинските администрации, но и заведения, предоставящи публични услуги, НПО организации и частни фирми. Реализирането на такъв тип проекти от бизнеса в областта, показва достатъчно информираност по възможностите за финансиране, както и привлича инвестирането на частни средства за обучение и квалификация на служителите, което от своя страна, допринася за развитие на икономическата среда. </w:t>
      </w:r>
    </w:p>
    <w:p w:rsidR="00E7781B" w:rsidRPr="00D3637A" w:rsidRDefault="00E7781B" w:rsidP="00EF0C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Най-голяма част от финансовите ресурси са усвоени на територията на община Луковит – 37% от общо реализираните средства. Близо 500 хил. лв. в общината са реализирани чрез проект „Грижа за всеки“ насочен към социално включване. Община Ловеч е привлякла 25% от финансовите ресурси, като най-значителният проект възлиза на над 400 хил. лв. и предоставя н</w:t>
      </w:r>
      <w:r w:rsidRPr="008F0D69">
        <w:rPr>
          <w:rFonts w:ascii="Times New Roman" w:hAnsi="Times New Roman" w:cs="Times New Roman"/>
          <w:sz w:val="24"/>
          <w:szCs w:val="24"/>
        </w:rPr>
        <w:t>ови възможности</w:t>
      </w:r>
      <w:r>
        <w:rPr>
          <w:rFonts w:ascii="Times New Roman" w:hAnsi="Times New Roman" w:cs="Times New Roman"/>
          <w:sz w:val="24"/>
          <w:szCs w:val="24"/>
        </w:rPr>
        <w:t xml:space="preserve"> за настаняване</w:t>
      </w:r>
      <w:r w:rsidRPr="008F0D69">
        <w:rPr>
          <w:rFonts w:ascii="Times New Roman" w:hAnsi="Times New Roman" w:cs="Times New Roman"/>
          <w:sz w:val="24"/>
          <w:szCs w:val="24"/>
        </w:rPr>
        <w:t xml:space="preserve"> </w:t>
      </w:r>
      <w:r>
        <w:rPr>
          <w:rFonts w:ascii="Times New Roman" w:hAnsi="Times New Roman" w:cs="Times New Roman"/>
          <w:sz w:val="24"/>
          <w:szCs w:val="24"/>
        </w:rPr>
        <w:t>за</w:t>
      </w:r>
      <w:r w:rsidRPr="008F0D69">
        <w:rPr>
          <w:rFonts w:ascii="Times New Roman" w:hAnsi="Times New Roman" w:cs="Times New Roman"/>
          <w:sz w:val="24"/>
          <w:szCs w:val="24"/>
        </w:rPr>
        <w:t xml:space="preserve"> деца и младежи с увреждания</w:t>
      </w:r>
      <w:r>
        <w:rPr>
          <w:rFonts w:ascii="Times New Roman" w:hAnsi="Times New Roman" w:cs="Times New Roman"/>
          <w:sz w:val="24"/>
          <w:szCs w:val="24"/>
        </w:rPr>
        <w:t>. Община Троян и Община Ябланица са привлекли съответно 13% и 11% от реализираните финансови средства. Общини Угърчин и Априлци са реализирали проекти за най-малък дял от общите финансови ресурси привлечени в областта.</w:t>
      </w:r>
    </w:p>
    <w:p w:rsidR="00E7781B"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p>
    <w:p w:rsidR="00E7781B" w:rsidRDefault="00E7781B" w:rsidP="00E7781B">
      <w:pPr>
        <w:spacing w:line="360" w:lineRule="auto"/>
        <w:jc w:val="both"/>
        <w:rPr>
          <w:rFonts w:ascii="Times New Roman" w:hAnsi="Times New Roman" w:cs="Times New Roman"/>
          <w:sz w:val="24"/>
          <w:szCs w:val="24"/>
          <w:lang w:val="ru-RU"/>
        </w:rPr>
      </w:pPr>
      <w:r>
        <w:rPr>
          <w:noProof/>
          <w:lang w:eastAsia="bg-BG"/>
        </w:rPr>
        <w:drawing>
          <wp:inline distT="0" distB="0" distL="0" distR="0" wp14:anchorId="1B63997F" wp14:editId="57044DEA">
            <wp:extent cx="5972810" cy="4348480"/>
            <wp:effectExtent l="0" t="0" r="8890" b="139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F0C5F" w:rsidRPr="00C17917" w:rsidRDefault="00C17917" w:rsidP="00C17917">
      <w:pPr>
        <w:pStyle w:val="Caption"/>
        <w:jc w:val="center"/>
        <w:rPr>
          <w:rFonts w:ascii="Times New Roman" w:hAnsi="Times New Roman" w:cs="Times New Roman"/>
          <w:b w:val="0"/>
          <w:i/>
          <w:color w:val="000000" w:themeColor="text1"/>
          <w:sz w:val="24"/>
          <w:szCs w:val="24"/>
        </w:rPr>
      </w:pPr>
      <w:bookmarkStart w:id="24" w:name="_Toc510702861"/>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15</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EF0C5F" w:rsidRPr="00C17917">
        <w:rPr>
          <w:rFonts w:ascii="Times New Roman" w:hAnsi="Times New Roman" w:cs="Times New Roman"/>
          <w:b w:val="0"/>
          <w:i/>
          <w:color w:val="000000" w:themeColor="text1"/>
          <w:sz w:val="24"/>
          <w:szCs w:val="24"/>
        </w:rPr>
        <w:t>Приоритет 2: Разпределение на финансови ресурси по общини</w:t>
      </w:r>
      <w:bookmarkEnd w:id="24"/>
    </w:p>
    <w:p w:rsidR="00EF0C5F" w:rsidRDefault="00EF0C5F" w:rsidP="00E7781B">
      <w:pPr>
        <w:spacing w:line="360" w:lineRule="auto"/>
        <w:ind w:firstLine="720"/>
        <w:jc w:val="both"/>
        <w:rPr>
          <w:rFonts w:ascii="Times New Roman" w:hAnsi="Times New Roman" w:cs="Times New Roman"/>
          <w:sz w:val="24"/>
          <w:szCs w:val="24"/>
          <w:lang w:val="ru-RU"/>
        </w:rPr>
      </w:pPr>
    </w:p>
    <w:p w:rsidR="00E7781B" w:rsidRPr="005A5655" w:rsidRDefault="00E7781B" w:rsidP="00E7781B">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Разглеждането на реализираните средства по години показва, че финансирането е най-значително пред 2014 и 2015 г. като те са с почти </w:t>
      </w:r>
      <w:proofErr w:type="gramStart"/>
      <w:r>
        <w:rPr>
          <w:rFonts w:ascii="Times New Roman" w:hAnsi="Times New Roman" w:cs="Times New Roman"/>
          <w:sz w:val="24"/>
          <w:szCs w:val="24"/>
          <w:lang w:val="ru-RU"/>
        </w:rPr>
        <w:t>равен</w:t>
      </w:r>
      <w:proofErr w:type="gramEnd"/>
      <w:r>
        <w:rPr>
          <w:rFonts w:ascii="Times New Roman" w:hAnsi="Times New Roman" w:cs="Times New Roman"/>
          <w:sz w:val="24"/>
          <w:szCs w:val="24"/>
          <w:lang w:val="ru-RU"/>
        </w:rPr>
        <w:t xml:space="preserve"> дял – съответно 51% и 49%. През 2016 г. са отчетени под 1% реализирани средства от приключили проекти.</w:t>
      </w:r>
    </w:p>
    <w:p w:rsidR="00E7781B" w:rsidRDefault="00E7781B" w:rsidP="00E7781B">
      <w:pPr>
        <w:spacing w:line="360" w:lineRule="auto"/>
        <w:ind w:firstLine="720"/>
        <w:jc w:val="both"/>
        <w:rPr>
          <w:rFonts w:ascii="Times New Roman" w:hAnsi="Times New Roman" w:cs="Times New Roman"/>
          <w:sz w:val="24"/>
          <w:szCs w:val="24"/>
          <w:highlight w:val="yellow"/>
        </w:rPr>
      </w:pPr>
      <w:r>
        <w:rPr>
          <w:noProof/>
          <w:lang w:eastAsia="bg-BG"/>
        </w:rPr>
        <w:drawing>
          <wp:inline distT="0" distB="0" distL="0" distR="0" wp14:anchorId="5B2DED5D" wp14:editId="0BF7DD15">
            <wp:extent cx="4591050" cy="269557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F0C5F" w:rsidRPr="00C17917" w:rsidRDefault="00C17917" w:rsidP="00C17917">
      <w:pPr>
        <w:pStyle w:val="Caption"/>
        <w:jc w:val="center"/>
        <w:rPr>
          <w:rFonts w:ascii="Times New Roman" w:hAnsi="Times New Roman" w:cs="Times New Roman"/>
          <w:b w:val="0"/>
          <w:i/>
          <w:color w:val="000000" w:themeColor="text1"/>
          <w:sz w:val="24"/>
          <w:szCs w:val="24"/>
        </w:rPr>
      </w:pPr>
      <w:bookmarkStart w:id="25" w:name="_Toc510702862"/>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16</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EF0C5F" w:rsidRPr="00C17917">
        <w:rPr>
          <w:rFonts w:ascii="Times New Roman" w:hAnsi="Times New Roman" w:cs="Times New Roman"/>
          <w:b w:val="0"/>
          <w:i/>
          <w:color w:val="000000" w:themeColor="text1"/>
          <w:sz w:val="24"/>
          <w:szCs w:val="24"/>
        </w:rPr>
        <w:t>Приоритет 2 Разпределение на финансовите ресурси по години</w:t>
      </w:r>
      <w:bookmarkEnd w:id="25"/>
    </w:p>
    <w:p w:rsidR="00EF0C5F" w:rsidRDefault="00EF0C5F" w:rsidP="00E7781B">
      <w:pPr>
        <w:spacing w:line="360" w:lineRule="auto"/>
        <w:ind w:firstLine="720"/>
        <w:jc w:val="both"/>
        <w:rPr>
          <w:rFonts w:ascii="Times New Roman" w:hAnsi="Times New Roman" w:cs="Times New Roman"/>
          <w:sz w:val="24"/>
          <w:szCs w:val="24"/>
        </w:rPr>
      </w:pPr>
    </w:p>
    <w:p w:rsidR="00E7781B" w:rsidRPr="00C51775" w:rsidRDefault="00E7781B" w:rsidP="00E7781B">
      <w:pPr>
        <w:spacing w:line="360" w:lineRule="auto"/>
        <w:ind w:firstLine="720"/>
        <w:jc w:val="both"/>
        <w:rPr>
          <w:rFonts w:ascii="Times New Roman" w:hAnsi="Times New Roman" w:cs="Times New Roman"/>
          <w:sz w:val="24"/>
          <w:szCs w:val="24"/>
        </w:rPr>
      </w:pPr>
      <w:r w:rsidRPr="00C51775">
        <w:rPr>
          <w:rFonts w:ascii="Times New Roman" w:hAnsi="Times New Roman" w:cs="Times New Roman"/>
          <w:sz w:val="24"/>
          <w:szCs w:val="24"/>
        </w:rPr>
        <w:t xml:space="preserve">Европейското финансиране и в приоритет 2 има водеща роля. То е реализирано чрез ОПРЧР, ФЕПНЛ, ОПАК и ПРПС. Най-голям дял от финансовите средства – 53%, е усвоен </w:t>
      </w:r>
      <w:r>
        <w:rPr>
          <w:rFonts w:ascii="Times New Roman" w:hAnsi="Times New Roman" w:cs="Times New Roman"/>
          <w:sz w:val="24"/>
          <w:szCs w:val="24"/>
        </w:rPr>
        <w:t>от</w:t>
      </w:r>
      <w:r w:rsidRPr="00C51775">
        <w:rPr>
          <w:rFonts w:ascii="Times New Roman" w:hAnsi="Times New Roman" w:cs="Times New Roman"/>
          <w:sz w:val="24"/>
          <w:szCs w:val="24"/>
        </w:rPr>
        <w:t xml:space="preserve"> проекти </w:t>
      </w:r>
      <w:r>
        <w:rPr>
          <w:rFonts w:ascii="Times New Roman" w:hAnsi="Times New Roman" w:cs="Times New Roman"/>
          <w:sz w:val="24"/>
          <w:szCs w:val="24"/>
        </w:rPr>
        <w:t xml:space="preserve">реализирани по оперативна програма Развитие на човешките ресурси за развитие на различни социални дейности и през двата програмни периода. Националният бюджет също е осигурил значителни средства за изпълнението на приоритет 2, възлизащи на 14% или повече от 500 хил. лв. за изпълнението на различни социални национални програми или съфинансиране на проекти, осъществявани по оперативните програми. </w:t>
      </w:r>
    </w:p>
    <w:p w:rsidR="00E7781B" w:rsidRPr="00AD6858" w:rsidRDefault="00E7781B" w:rsidP="00E7781B">
      <w:pPr>
        <w:spacing w:line="360" w:lineRule="auto"/>
        <w:jc w:val="both"/>
        <w:rPr>
          <w:rFonts w:ascii="Times New Roman" w:hAnsi="Times New Roman" w:cs="Times New Roman"/>
          <w:sz w:val="24"/>
          <w:szCs w:val="24"/>
        </w:rPr>
      </w:pPr>
      <w:r>
        <w:rPr>
          <w:noProof/>
          <w:lang w:eastAsia="bg-BG"/>
        </w:rPr>
        <w:drawing>
          <wp:inline distT="0" distB="0" distL="0" distR="0" wp14:anchorId="3EE92F5E" wp14:editId="12CB0098">
            <wp:extent cx="5972810" cy="4407535"/>
            <wp:effectExtent l="0" t="0" r="8890" b="1206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F0C5F" w:rsidRPr="00C17917" w:rsidRDefault="00C17917" w:rsidP="00C17917">
      <w:pPr>
        <w:pStyle w:val="Caption"/>
        <w:jc w:val="center"/>
        <w:rPr>
          <w:rFonts w:ascii="Times New Roman" w:hAnsi="Times New Roman" w:cs="Times New Roman"/>
          <w:b w:val="0"/>
          <w:i/>
          <w:color w:val="000000" w:themeColor="text1"/>
          <w:sz w:val="24"/>
          <w:szCs w:val="24"/>
        </w:rPr>
      </w:pPr>
      <w:bookmarkStart w:id="26" w:name="_Toc510702863"/>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17</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EF0C5F" w:rsidRPr="00C17917">
        <w:rPr>
          <w:rFonts w:ascii="Times New Roman" w:hAnsi="Times New Roman" w:cs="Times New Roman"/>
          <w:b w:val="0"/>
          <w:i/>
          <w:color w:val="000000" w:themeColor="text1"/>
          <w:sz w:val="24"/>
          <w:szCs w:val="24"/>
        </w:rPr>
        <w:t>Приоритет 2: Разпределение на финансовите ресурси по източник</w:t>
      </w:r>
      <w:bookmarkEnd w:id="26"/>
    </w:p>
    <w:p w:rsidR="00E7781B" w:rsidRPr="0003118A" w:rsidRDefault="00E7781B" w:rsidP="00E7781B">
      <w:pPr>
        <w:spacing w:line="360" w:lineRule="auto"/>
        <w:jc w:val="both"/>
        <w:rPr>
          <w:rFonts w:ascii="Times New Roman" w:hAnsi="Times New Roman" w:cs="Times New Roman"/>
          <w:sz w:val="24"/>
          <w:szCs w:val="24"/>
          <w:lang w:val="ru-RU"/>
        </w:rPr>
      </w:pPr>
    </w:p>
    <w:p w:rsidR="00E7781B" w:rsidRPr="0003118A" w:rsidRDefault="00E7781B" w:rsidP="00E7781B">
      <w:pPr>
        <w:pStyle w:val="Heading1"/>
        <w:rPr>
          <w:rFonts w:ascii="Times New Roman" w:hAnsi="Times New Roman" w:cs="Times New Roman"/>
          <w:lang w:val="ru-RU"/>
        </w:rPr>
      </w:pPr>
      <w:bookmarkStart w:id="27" w:name="_Toc510702809"/>
      <w:r w:rsidRPr="0003118A">
        <w:rPr>
          <w:rFonts w:ascii="Times New Roman" w:hAnsi="Times New Roman" w:cs="Times New Roman"/>
          <w:lang w:val="ru-RU"/>
        </w:rPr>
        <w:t xml:space="preserve">ПРИОРИТЕТ 3  </w:t>
      </w:r>
      <w:r w:rsidRPr="0003118A">
        <w:rPr>
          <w:rFonts w:ascii="Times New Roman" w:hAnsi="Times New Roman" w:cs="Times New Roman"/>
        </w:rPr>
        <w:t>Повишаване</w:t>
      </w:r>
      <w:r w:rsidRPr="0003118A">
        <w:rPr>
          <w:rFonts w:ascii="Times New Roman" w:hAnsi="Times New Roman" w:cs="Times New Roman"/>
          <w:lang w:val="ru-RU"/>
        </w:rPr>
        <w:t xml:space="preserve"> на конкурентоспособн</w:t>
      </w:r>
      <w:r w:rsidRPr="0003118A">
        <w:rPr>
          <w:rFonts w:ascii="Times New Roman" w:hAnsi="Times New Roman" w:cs="Times New Roman"/>
        </w:rPr>
        <w:t>остта на местната</w:t>
      </w:r>
      <w:r w:rsidRPr="0003118A">
        <w:rPr>
          <w:rFonts w:ascii="Times New Roman" w:hAnsi="Times New Roman" w:cs="Times New Roman"/>
          <w:lang w:val="ru-RU"/>
        </w:rPr>
        <w:t xml:space="preserve"> икономика </w:t>
      </w:r>
      <w:r w:rsidRPr="0003118A">
        <w:rPr>
          <w:rFonts w:ascii="Times New Roman" w:hAnsi="Times New Roman" w:cs="Times New Roman"/>
        </w:rPr>
        <w:t xml:space="preserve">за </w:t>
      </w:r>
      <w:r w:rsidRPr="0003118A">
        <w:rPr>
          <w:rFonts w:ascii="Times New Roman" w:hAnsi="Times New Roman" w:cs="Times New Roman"/>
          <w:lang w:val="ru-RU"/>
        </w:rPr>
        <w:t>постигане на икономически растеж и заетост</w:t>
      </w:r>
      <w:bookmarkEnd w:id="27"/>
    </w:p>
    <w:p w:rsidR="00E7781B" w:rsidRDefault="00E7781B" w:rsidP="00E7781B">
      <w:pPr>
        <w:spacing w:line="360" w:lineRule="auto"/>
        <w:jc w:val="both"/>
        <w:rPr>
          <w:rFonts w:ascii="Times New Roman" w:hAnsi="Times New Roman" w:cs="Times New Roman"/>
          <w:b/>
          <w:sz w:val="24"/>
          <w:szCs w:val="24"/>
        </w:rPr>
      </w:pPr>
      <w:r w:rsidRPr="0078251A">
        <w:rPr>
          <w:rFonts w:ascii="Times New Roman" w:hAnsi="Times New Roman" w:cs="Times New Roman"/>
          <w:b/>
          <w:sz w:val="24"/>
          <w:szCs w:val="24"/>
        </w:rPr>
        <w:t>Общо реализирани финансови ресурси:</w:t>
      </w:r>
      <w:r w:rsidRPr="00B64E6C">
        <w:t xml:space="preserve"> </w:t>
      </w:r>
      <w:r w:rsidRPr="00B64E6C">
        <w:rPr>
          <w:rFonts w:ascii="Times New Roman" w:hAnsi="Times New Roman" w:cs="Times New Roman"/>
          <w:b/>
          <w:sz w:val="24"/>
          <w:szCs w:val="24"/>
        </w:rPr>
        <w:t>8 922</w:t>
      </w:r>
      <w:r>
        <w:rPr>
          <w:rFonts w:ascii="Times New Roman" w:hAnsi="Times New Roman" w:cs="Times New Roman"/>
          <w:b/>
          <w:sz w:val="24"/>
          <w:szCs w:val="24"/>
        </w:rPr>
        <w:t> </w:t>
      </w:r>
      <w:r w:rsidRPr="00B64E6C">
        <w:rPr>
          <w:rFonts w:ascii="Times New Roman" w:hAnsi="Times New Roman" w:cs="Times New Roman"/>
          <w:b/>
          <w:sz w:val="24"/>
          <w:szCs w:val="24"/>
        </w:rPr>
        <w:t>992</w:t>
      </w:r>
      <w:r>
        <w:rPr>
          <w:rFonts w:ascii="Times New Roman" w:hAnsi="Times New Roman" w:cs="Times New Roman"/>
          <w:b/>
          <w:sz w:val="24"/>
          <w:szCs w:val="24"/>
        </w:rPr>
        <w:t xml:space="preserve"> лв.</w:t>
      </w:r>
    </w:p>
    <w:p w:rsidR="00E7781B"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r w:rsidRPr="00CA71FA">
        <w:rPr>
          <w:rFonts w:ascii="Times New Roman" w:hAnsi="Times New Roman" w:cs="Times New Roman"/>
          <w:sz w:val="24"/>
          <w:szCs w:val="24"/>
        </w:rPr>
        <w:tab/>
        <w:t>Отчетените реализирани финансови ресурси за постигане на икономически растеж по Приоритет 3 възлизат на 8</w:t>
      </w:r>
      <w:r>
        <w:rPr>
          <w:rFonts w:ascii="Times New Roman" w:hAnsi="Times New Roman" w:cs="Times New Roman"/>
          <w:sz w:val="24"/>
          <w:szCs w:val="24"/>
        </w:rPr>
        <w:t xml:space="preserve"> </w:t>
      </w:r>
      <w:r w:rsidRPr="00CA71FA">
        <w:rPr>
          <w:rFonts w:ascii="Times New Roman" w:hAnsi="Times New Roman" w:cs="Times New Roman"/>
          <w:sz w:val="24"/>
          <w:szCs w:val="24"/>
        </w:rPr>
        <w:t>922 хил. лв. Отчетени са изпълнени проекти във всички общини в област Ловеч</w:t>
      </w:r>
      <w:r>
        <w:rPr>
          <w:rFonts w:ascii="Times New Roman" w:hAnsi="Times New Roman" w:cs="Times New Roman"/>
          <w:sz w:val="24"/>
          <w:szCs w:val="24"/>
        </w:rPr>
        <w:t>, както и проекти реализирани от областна администрация Ловеч.</w:t>
      </w:r>
      <w:r w:rsidRPr="00CA71FA">
        <w:rPr>
          <w:rFonts w:ascii="Times New Roman" w:hAnsi="Times New Roman" w:cs="Times New Roman"/>
          <w:sz w:val="24"/>
          <w:szCs w:val="24"/>
        </w:rPr>
        <w:t xml:space="preserve"> </w:t>
      </w:r>
      <w:r>
        <w:rPr>
          <w:rFonts w:ascii="Times New Roman" w:hAnsi="Times New Roman" w:cs="Times New Roman"/>
          <w:sz w:val="24"/>
          <w:szCs w:val="24"/>
        </w:rPr>
        <w:t>Наблюдава се интерес при реализирането на проекти от страна на бизнеса, което допринася за инвестирането на частни финансови средства.</w:t>
      </w:r>
    </w:p>
    <w:p w:rsidR="00E7781B" w:rsidRPr="00CA71FA"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По този приоритет най-значителна част от инвестираните средства за развитие на икономиката за усвоени чрез дейности и проекти изпълнени на територията на община Ловеч – 76%. Над 2 млн. лв. са реализирани в общината за развитие на туризма по проект </w:t>
      </w:r>
      <w:r w:rsidRPr="005D7C7C">
        <w:rPr>
          <w:rFonts w:ascii="Times New Roman" w:hAnsi="Times New Roman" w:cs="Times New Roman"/>
          <w:sz w:val="24"/>
          <w:szCs w:val="24"/>
        </w:rPr>
        <w:t>"Подкрепа за развитие на туристически атракции в Община Ловеч"</w:t>
      </w:r>
      <w:r>
        <w:rPr>
          <w:rFonts w:ascii="Times New Roman" w:hAnsi="Times New Roman" w:cs="Times New Roman"/>
          <w:sz w:val="24"/>
          <w:szCs w:val="24"/>
        </w:rPr>
        <w:t>. Наблюдава се силна поляризация на привлечените средства по територията на областта. Всички други общини в областта са привлекли общо 24%, или под 7% за всяка, от общо привлечените ресурси по този приоритет. До края на действие на ОСР Ловеч следва да се цели привличане на повече финанси за развитие на икономиката на останалите общините, за да се постигне равномерно развитие по територията на областта.</w:t>
      </w:r>
    </w:p>
    <w:p w:rsidR="00E7781B" w:rsidRDefault="00E7781B" w:rsidP="00E7781B">
      <w:pPr>
        <w:widowControl w:val="0"/>
        <w:autoSpaceDE w:val="0"/>
        <w:autoSpaceDN w:val="0"/>
        <w:adjustRightInd w:val="0"/>
        <w:spacing w:after="0" w:line="360" w:lineRule="auto"/>
        <w:jc w:val="both"/>
        <w:rPr>
          <w:rFonts w:ascii="Times New Roman" w:hAnsi="Times New Roman" w:cs="Times New Roman"/>
          <w:sz w:val="24"/>
          <w:szCs w:val="24"/>
          <w:highlight w:val="yellow"/>
        </w:rPr>
      </w:pPr>
    </w:p>
    <w:p w:rsidR="00E7781B"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r>
        <w:rPr>
          <w:noProof/>
          <w:lang w:eastAsia="bg-BG"/>
        </w:rPr>
        <w:drawing>
          <wp:inline distT="0" distB="0" distL="0" distR="0" wp14:anchorId="10E279B9" wp14:editId="5B647204">
            <wp:extent cx="5972810" cy="4752340"/>
            <wp:effectExtent l="0" t="0" r="8890" b="1016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8698C" w:rsidRPr="00C17917" w:rsidRDefault="00C17917" w:rsidP="00C17917">
      <w:pPr>
        <w:pStyle w:val="Caption"/>
        <w:jc w:val="center"/>
        <w:rPr>
          <w:rFonts w:ascii="Times New Roman" w:hAnsi="Times New Roman" w:cs="Times New Roman"/>
          <w:b w:val="0"/>
          <w:i/>
          <w:color w:val="000000" w:themeColor="text1"/>
          <w:sz w:val="24"/>
          <w:szCs w:val="24"/>
        </w:rPr>
      </w:pPr>
      <w:bookmarkStart w:id="28" w:name="_Toc510702864"/>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18</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98698C" w:rsidRPr="00C17917">
        <w:rPr>
          <w:rFonts w:ascii="Times New Roman" w:hAnsi="Times New Roman" w:cs="Times New Roman"/>
          <w:b w:val="0"/>
          <w:i/>
          <w:color w:val="000000" w:themeColor="text1"/>
          <w:sz w:val="24"/>
          <w:szCs w:val="24"/>
        </w:rPr>
        <w:t>Приоритет 3: Разпределение на финансови ресурси по общини</w:t>
      </w:r>
      <w:bookmarkEnd w:id="28"/>
    </w:p>
    <w:p w:rsidR="00B908EE" w:rsidRDefault="00B908EE" w:rsidP="00B908EE">
      <w:pPr>
        <w:spacing w:line="360" w:lineRule="auto"/>
        <w:ind w:firstLine="708"/>
        <w:jc w:val="both"/>
        <w:rPr>
          <w:rFonts w:ascii="Times New Roman" w:hAnsi="Times New Roman" w:cs="Times New Roman"/>
          <w:sz w:val="24"/>
          <w:szCs w:val="24"/>
        </w:rPr>
      </w:pPr>
    </w:p>
    <w:p w:rsidR="00E7781B" w:rsidRPr="002733EB" w:rsidRDefault="00E7781B" w:rsidP="00B908EE">
      <w:pPr>
        <w:spacing w:line="360" w:lineRule="auto"/>
        <w:ind w:firstLine="708"/>
        <w:jc w:val="both"/>
        <w:rPr>
          <w:rFonts w:ascii="Times New Roman" w:hAnsi="Times New Roman" w:cs="Times New Roman"/>
          <w:sz w:val="24"/>
          <w:szCs w:val="24"/>
        </w:rPr>
      </w:pPr>
      <w:r w:rsidRPr="002733EB">
        <w:rPr>
          <w:rFonts w:ascii="Times New Roman" w:hAnsi="Times New Roman" w:cs="Times New Roman"/>
          <w:sz w:val="24"/>
          <w:szCs w:val="24"/>
        </w:rPr>
        <w:t>При разпределението на финансовите ресурси по години се наблюдава същата тенденция</w:t>
      </w:r>
      <w:r>
        <w:rPr>
          <w:rFonts w:ascii="Times New Roman" w:hAnsi="Times New Roman" w:cs="Times New Roman"/>
          <w:sz w:val="24"/>
          <w:szCs w:val="24"/>
        </w:rPr>
        <w:t>,</w:t>
      </w:r>
      <w:r w:rsidRPr="002733EB">
        <w:rPr>
          <w:rFonts w:ascii="Times New Roman" w:hAnsi="Times New Roman" w:cs="Times New Roman"/>
          <w:sz w:val="24"/>
          <w:szCs w:val="24"/>
        </w:rPr>
        <w:t xml:space="preserve"> ка</w:t>
      </w:r>
      <w:r>
        <w:rPr>
          <w:rFonts w:ascii="Times New Roman" w:hAnsi="Times New Roman" w:cs="Times New Roman"/>
          <w:sz w:val="24"/>
          <w:szCs w:val="24"/>
        </w:rPr>
        <w:t>к</w:t>
      </w:r>
      <w:r w:rsidRPr="002733EB">
        <w:rPr>
          <w:rFonts w:ascii="Times New Roman" w:hAnsi="Times New Roman" w:cs="Times New Roman"/>
          <w:sz w:val="24"/>
          <w:szCs w:val="24"/>
        </w:rPr>
        <w:t xml:space="preserve">то </w:t>
      </w:r>
      <w:r>
        <w:rPr>
          <w:rFonts w:ascii="Times New Roman" w:hAnsi="Times New Roman" w:cs="Times New Roman"/>
          <w:sz w:val="24"/>
          <w:szCs w:val="24"/>
        </w:rPr>
        <w:t xml:space="preserve">и </w:t>
      </w:r>
      <w:r w:rsidRPr="002733EB">
        <w:rPr>
          <w:rFonts w:ascii="Times New Roman" w:hAnsi="Times New Roman" w:cs="Times New Roman"/>
          <w:sz w:val="24"/>
          <w:szCs w:val="24"/>
        </w:rPr>
        <w:t>при приоритет</w:t>
      </w:r>
      <w:r>
        <w:rPr>
          <w:rFonts w:ascii="Times New Roman" w:hAnsi="Times New Roman" w:cs="Times New Roman"/>
          <w:sz w:val="24"/>
          <w:szCs w:val="24"/>
        </w:rPr>
        <w:t>и</w:t>
      </w:r>
      <w:r w:rsidRPr="002733EB">
        <w:rPr>
          <w:rFonts w:ascii="Times New Roman" w:hAnsi="Times New Roman" w:cs="Times New Roman"/>
          <w:sz w:val="24"/>
          <w:szCs w:val="24"/>
        </w:rPr>
        <w:t xml:space="preserve"> 1 и 2. Отново през 2014 г. са усвоени най-голяма част от средствата – 54%, а през 2015</w:t>
      </w:r>
      <w:r>
        <w:rPr>
          <w:rFonts w:ascii="Times New Roman" w:hAnsi="Times New Roman" w:cs="Times New Roman"/>
          <w:sz w:val="24"/>
          <w:szCs w:val="24"/>
        </w:rPr>
        <w:t xml:space="preserve"> </w:t>
      </w:r>
      <w:r w:rsidRPr="002733EB">
        <w:rPr>
          <w:rFonts w:ascii="Times New Roman" w:hAnsi="Times New Roman" w:cs="Times New Roman"/>
          <w:sz w:val="24"/>
          <w:szCs w:val="24"/>
        </w:rPr>
        <w:t>г. те са 45%. За 2016</w:t>
      </w:r>
      <w:r>
        <w:rPr>
          <w:rFonts w:ascii="Times New Roman" w:hAnsi="Times New Roman" w:cs="Times New Roman"/>
          <w:sz w:val="24"/>
          <w:szCs w:val="24"/>
        </w:rPr>
        <w:t xml:space="preserve"> </w:t>
      </w:r>
      <w:r w:rsidRPr="002733EB">
        <w:rPr>
          <w:rFonts w:ascii="Times New Roman" w:hAnsi="Times New Roman" w:cs="Times New Roman"/>
          <w:sz w:val="24"/>
          <w:szCs w:val="24"/>
        </w:rPr>
        <w:t>г. са отчетени незначителни ресурси реализирани по приключили проекти. Това се обуславя от финансовото отчитане при преминаването от програмен период 2007-201</w:t>
      </w:r>
      <w:r>
        <w:rPr>
          <w:rFonts w:ascii="Times New Roman" w:hAnsi="Times New Roman" w:cs="Times New Roman"/>
          <w:sz w:val="24"/>
          <w:szCs w:val="24"/>
        </w:rPr>
        <w:t>3</w:t>
      </w:r>
      <w:r w:rsidRPr="002733EB">
        <w:rPr>
          <w:rFonts w:ascii="Times New Roman" w:hAnsi="Times New Roman" w:cs="Times New Roman"/>
          <w:sz w:val="24"/>
          <w:szCs w:val="24"/>
        </w:rPr>
        <w:t xml:space="preserve"> към 2014-2020.</w:t>
      </w:r>
    </w:p>
    <w:p w:rsidR="00E7781B" w:rsidRDefault="00E7781B" w:rsidP="00E7781B">
      <w:pPr>
        <w:spacing w:line="360" w:lineRule="auto"/>
        <w:jc w:val="both"/>
        <w:rPr>
          <w:rFonts w:ascii="Times New Roman" w:hAnsi="Times New Roman" w:cs="Times New Roman"/>
          <w:sz w:val="24"/>
          <w:szCs w:val="24"/>
          <w:highlight w:val="yellow"/>
        </w:rPr>
      </w:pPr>
      <w:r>
        <w:rPr>
          <w:noProof/>
          <w:lang w:eastAsia="bg-BG"/>
        </w:rPr>
        <w:drawing>
          <wp:inline distT="0" distB="0" distL="0" distR="0" wp14:anchorId="3776EC0E" wp14:editId="684A9E70">
            <wp:extent cx="5705475" cy="320992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8698C" w:rsidRPr="00C17917" w:rsidRDefault="00C17917" w:rsidP="00C17917">
      <w:pPr>
        <w:pStyle w:val="Caption"/>
        <w:jc w:val="center"/>
        <w:rPr>
          <w:rFonts w:ascii="Times New Roman" w:hAnsi="Times New Roman" w:cs="Times New Roman"/>
          <w:b w:val="0"/>
          <w:i/>
          <w:color w:val="000000" w:themeColor="text1"/>
          <w:sz w:val="24"/>
          <w:szCs w:val="24"/>
        </w:rPr>
      </w:pPr>
      <w:bookmarkStart w:id="29" w:name="_Toc510702865"/>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19</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98698C" w:rsidRPr="00C17917">
        <w:rPr>
          <w:rFonts w:ascii="Times New Roman" w:hAnsi="Times New Roman" w:cs="Times New Roman"/>
          <w:b w:val="0"/>
          <w:i/>
          <w:color w:val="000000" w:themeColor="text1"/>
          <w:sz w:val="24"/>
          <w:szCs w:val="24"/>
        </w:rPr>
        <w:t>Приоритет 3 Разпределение на финансовите ресурси по години</w:t>
      </w:r>
      <w:bookmarkEnd w:id="29"/>
    </w:p>
    <w:p w:rsidR="0098698C" w:rsidRDefault="0098698C" w:rsidP="00E7781B">
      <w:pPr>
        <w:spacing w:line="360" w:lineRule="auto"/>
        <w:jc w:val="both"/>
        <w:rPr>
          <w:rFonts w:ascii="Times New Roman" w:hAnsi="Times New Roman" w:cs="Times New Roman"/>
          <w:sz w:val="24"/>
          <w:szCs w:val="24"/>
        </w:rPr>
      </w:pPr>
    </w:p>
    <w:p w:rsidR="00E7781B" w:rsidRPr="00312BF0" w:rsidRDefault="00E7781B" w:rsidP="00E7781B">
      <w:pPr>
        <w:spacing w:line="360" w:lineRule="auto"/>
        <w:jc w:val="both"/>
        <w:rPr>
          <w:rFonts w:ascii="Times New Roman" w:hAnsi="Times New Roman" w:cs="Times New Roman"/>
          <w:sz w:val="24"/>
          <w:szCs w:val="24"/>
        </w:rPr>
      </w:pPr>
      <w:r w:rsidRPr="00312BF0">
        <w:rPr>
          <w:rFonts w:ascii="Times New Roman" w:hAnsi="Times New Roman" w:cs="Times New Roman"/>
          <w:sz w:val="24"/>
          <w:szCs w:val="24"/>
        </w:rPr>
        <w:tab/>
        <w:t>При отчетените средства по вид на източника за приоритет 3 отново превес има финансирането от европейски фондове – 85% от всички средства. Те са реализирани по</w:t>
      </w:r>
      <w:r>
        <w:rPr>
          <w:rFonts w:ascii="Times New Roman" w:hAnsi="Times New Roman" w:cs="Times New Roman"/>
          <w:sz w:val="24"/>
          <w:szCs w:val="24"/>
        </w:rPr>
        <w:t xml:space="preserve"> линия на</w:t>
      </w:r>
      <w:r w:rsidRPr="00312BF0">
        <w:rPr>
          <w:rFonts w:ascii="Times New Roman" w:hAnsi="Times New Roman" w:cs="Times New Roman"/>
          <w:sz w:val="24"/>
          <w:szCs w:val="24"/>
        </w:rPr>
        <w:t xml:space="preserve"> ОПАК,  ОПРКБИ/ОПИК, ОПРР, ОПРЧР и ПРСР през двата програмни периода 2007-2013 и 2014-2020. 36% от общо реализираните средства по приоритета са осигурени от унаследяващите се оперативните програми ОПРКБИ и ОПИК насочени към развитие на българската икономика.</w:t>
      </w:r>
      <w:r>
        <w:rPr>
          <w:rFonts w:ascii="Times New Roman" w:hAnsi="Times New Roman" w:cs="Times New Roman"/>
          <w:sz w:val="24"/>
          <w:szCs w:val="24"/>
        </w:rPr>
        <w:t xml:space="preserve"> Значителна част от средствата са реализирани по проекти, финансирани чрез ОПРР – 25%. Програмата за развитие на селските райони е допринесла с 18% от всички финансови ресурси по приоритета. Националният бюджет и общинските бюджети са осигурили общо 15% от средствата. </w:t>
      </w:r>
    </w:p>
    <w:p w:rsidR="00E7781B" w:rsidRDefault="00E7781B" w:rsidP="00E7781B">
      <w:pPr>
        <w:spacing w:line="360" w:lineRule="auto"/>
        <w:jc w:val="both"/>
        <w:rPr>
          <w:rFonts w:ascii="Times New Roman" w:hAnsi="Times New Roman" w:cs="Times New Roman"/>
          <w:sz w:val="24"/>
          <w:szCs w:val="24"/>
          <w:highlight w:val="yellow"/>
        </w:rPr>
      </w:pPr>
    </w:p>
    <w:p w:rsidR="00E7781B" w:rsidRPr="008B67C5" w:rsidRDefault="00E7781B" w:rsidP="00E7781B">
      <w:pPr>
        <w:spacing w:line="360" w:lineRule="auto"/>
        <w:jc w:val="center"/>
        <w:rPr>
          <w:rFonts w:ascii="Times New Roman" w:hAnsi="Times New Roman" w:cs="Times New Roman"/>
          <w:sz w:val="24"/>
          <w:szCs w:val="24"/>
        </w:rPr>
      </w:pPr>
      <w:r>
        <w:rPr>
          <w:noProof/>
          <w:lang w:eastAsia="bg-BG"/>
        </w:rPr>
        <w:drawing>
          <wp:inline distT="0" distB="0" distL="0" distR="0" wp14:anchorId="11AD2839" wp14:editId="3AECDE03">
            <wp:extent cx="5410200" cy="4343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8698C" w:rsidRPr="00C17917" w:rsidRDefault="00C17917" w:rsidP="00C17917">
      <w:pPr>
        <w:pStyle w:val="Caption"/>
        <w:jc w:val="center"/>
        <w:rPr>
          <w:rFonts w:ascii="Times New Roman" w:hAnsi="Times New Roman" w:cs="Times New Roman"/>
          <w:b w:val="0"/>
          <w:i/>
          <w:color w:val="000000" w:themeColor="text1"/>
          <w:sz w:val="24"/>
          <w:szCs w:val="24"/>
        </w:rPr>
      </w:pPr>
      <w:bookmarkStart w:id="30" w:name="_Toc510702866"/>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20</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98698C" w:rsidRPr="00C17917">
        <w:rPr>
          <w:rFonts w:ascii="Times New Roman" w:hAnsi="Times New Roman" w:cs="Times New Roman"/>
          <w:b w:val="0"/>
          <w:i/>
          <w:color w:val="000000" w:themeColor="text1"/>
          <w:sz w:val="24"/>
          <w:szCs w:val="24"/>
        </w:rPr>
        <w:t>Приоритет 3: Разпределение на финансовите ресурси по източник</w:t>
      </w:r>
      <w:bookmarkEnd w:id="30"/>
    </w:p>
    <w:p w:rsidR="00E7781B" w:rsidRDefault="0098698C" w:rsidP="00E7781B">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7781B" w:rsidRPr="0003118A" w:rsidRDefault="00E7781B" w:rsidP="00E7781B">
      <w:pPr>
        <w:pStyle w:val="Heading1"/>
        <w:rPr>
          <w:rFonts w:ascii="Times New Roman" w:hAnsi="Times New Roman" w:cs="Times New Roman"/>
          <w:lang w:val="ru-RU"/>
        </w:rPr>
      </w:pPr>
      <w:bookmarkStart w:id="31" w:name="_Toc510702810"/>
      <w:r w:rsidRPr="0003118A">
        <w:rPr>
          <w:rFonts w:ascii="Times New Roman" w:hAnsi="Times New Roman" w:cs="Times New Roman"/>
          <w:lang w:val="ru-RU"/>
        </w:rPr>
        <w:t xml:space="preserve">ПРИОРИТЕТ </w:t>
      </w:r>
      <w:r w:rsidRPr="0003118A">
        <w:rPr>
          <w:rFonts w:ascii="Times New Roman" w:hAnsi="Times New Roman" w:cs="Times New Roman"/>
        </w:rPr>
        <w:t>4</w:t>
      </w:r>
      <w:r w:rsidRPr="0003118A">
        <w:rPr>
          <w:rFonts w:ascii="Times New Roman" w:hAnsi="Times New Roman" w:cs="Times New Roman"/>
          <w:lang w:val="ru-RU"/>
        </w:rPr>
        <w:t xml:space="preserve">  Устойчиво развитие </w:t>
      </w:r>
      <w:proofErr w:type="gramStart"/>
      <w:r w:rsidRPr="0003118A">
        <w:rPr>
          <w:rFonts w:ascii="Times New Roman" w:hAnsi="Times New Roman" w:cs="Times New Roman"/>
          <w:lang w:val="ru-RU"/>
        </w:rPr>
        <w:t>на</w:t>
      </w:r>
      <w:proofErr w:type="gramEnd"/>
      <w:r w:rsidRPr="0003118A">
        <w:rPr>
          <w:rFonts w:ascii="Times New Roman" w:hAnsi="Times New Roman" w:cs="Times New Roman"/>
          <w:lang w:val="ru-RU"/>
        </w:rPr>
        <w:t xml:space="preserve"> конкурентоспособно селско и горско стопанство</w:t>
      </w:r>
      <w:bookmarkEnd w:id="31"/>
    </w:p>
    <w:p w:rsidR="00E7781B" w:rsidRDefault="00E7781B" w:rsidP="00E7781B">
      <w:pPr>
        <w:spacing w:line="360" w:lineRule="auto"/>
        <w:jc w:val="both"/>
        <w:rPr>
          <w:rFonts w:ascii="Times New Roman" w:hAnsi="Times New Roman" w:cs="Times New Roman"/>
          <w:b/>
          <w:sz w:val="24"/>
          <w:szCs w:val="24"/>
        </w:rPr>
      </w:pPr>
      <w:r w:rsidRPr="0078251A">
        <w:rPr>
          <w:rFonts w:ascii="Times New Roman" w:hAnsi="Times New Roman" w:cs="Times New Roman"/>
          <w:b/>
          <w:sz w:val="24"/>
          <w:szCs w:val="24"/>
        </w:rPr>
        <w:t>Общо реализирани финансови ресурси:</w:t>
      </w:r>
      <w:r w:rsidRPr="00B64E6C">
        <w:t xml:space="preserve"> </w:t>
      </w:r>
      <w:r w:rsidRPr="00B64E6C">
        <w:rPr>
          <w:rFonts w:ascii="Times New Roman" w:hAnsi="Times New Roman" w:cs="Times New Roman"/>
          <w:b/>
          <w:sz w:val="24"/>
          <w:szCs w:val="24"/>
        </w:rPr>
        <w:t>242</w:t>
      </w:r>
      <w:r>
        <w:rPr>
          <w:rFonts w:ascii="Times New Roman" w:hAnsi="Times New Roman" w:cs="Times New Roman"/>
          <w:b/>
          <w:sz w:val="24"/>
          <w:szCs w:val="24"/>
        </w:rPr>
        <w:t> </w:t>
      </w:r>
      <w:r w:rsidRPr="00B64E6C">
        <w:rPr>
          <w:rFonts w:ascii="Times New Roman" w:hAnsi="Times New Roman" w:cs="Times New Roman"/>
          <w:b/>
          <w:sz w:val="24"/>
          <w:szCs w:val="24"/>
        </w:rPr>
        <w:t>549</w:t>
      </w:r>
      <w:r>
        <w:rPr>
          <w:rFonts w:ascii="Times New Roman" w:hAnsi="Times New Roman" w:cs="Times New Roman"/>
          <w:b/>
          <w:sz w:val="24"/>
          <w:szCs w:val="24"/>
        </w:rPr>
        <w:t xml:space="preserve"> лв. </w:t>
      </w:r>
    </w:p>
    <w:p w:rsidR="00E7781B" w:rsidRPr="00B74416" w:rsidRDefault="00E7781B" w:rsidP="00E7781B">
      <w:pPr>
        <w:spacing w:line="360" w:lineRule="auto"/>
        <w:ind w:firstLine="720"/>
        <w:jc w:val="both"/>
        <w:rPr>
          <w:rFonts w:ascii="Times New Roman" w:hAnsi="Times New Roman" w:cs="Times New Roman"/>
          <w:sz w:val="24"/>
          <w:szCs w:val="24"/>
        </w:rPr>
      </w:pPr>
      <w:r w:rsidRPr="00B74416">
        <w:rPr>
          <w:rFonts w:ascii="Times New Roman" w:hAnsi="Times New Roman" w:cs="Times New Roman"/>
          <w:sz w:val="24"/>
          <w:szCs w:val="24"/>
        </w:rPr>
        <w:t>Отчетените средства по проекти, реализирани за изпълнението на Приоритет 4 Устойчиво развитие на конкурентоспособно селско и горско стопанство възлиза едва на 242 хил. лв.</w:t>
      </w:r>
      <w:r>
        <w:rPr>
          <w:rFonts w:ascii="Times New Roman" w:hAnsi="Times New Roman" w:cs="Times New Roman"/>
          <w:sz w:val="24"/>
          <w:szCs w:val="24"/>
        </w:rPr>
        <w:t xml:space="preserve"> Изходна информация за реализирани средства по проекти и дейности в тази сфера са отчетени едва за три от общините – Летница, Априлци и Троян. Всички отчетени проекти са реализирани по програмата за развитие на селските райони през 2014 г. Причините за слабата реализация на дейности и проекти по този приоритет са няколко. Първата е в самото формулиране на мерките в ОСП Ловеч, които ограничават до голяма степен съотнасянето на реализирани проекти към този приоритет. Втората причина е липсата на голям интерес от бизнеса и местните администрации за реализиране на проекти, стимулиращи финансиране в сферата на селското и горското стопанство. Третата причина е това, че всички проекти, отнесени за изпълнение на този приоритет са изпълнение по ПРСП, за която липсва ясно отчетна публична информация. Останалите източници за финансова подкрепа, предложени в ОСР Ловеч – ОПОС и ПУДООС са осигурили финансиране на различни проекти, отчетени в настоящата оценка, които обаче са съотнесени към други приоритети.</w:t>
      </w:r>
    </w:p>
    <w:p w:rsidR="00E7781B" w:rsidRDefault="00E7781B" w:rsidP="0098698C">
      <w:pPr>
        <w:widowControl w:val="0"/>
        <w:autoSpaceDE w:val="0"/>
        <w:autoSpaceDN w:val="0"/>
        <w:adjustRightInd w:val="0"/>
        <w:spacing w:after="0" w:line="360" w:lineRule="auto"/>
        <w:jc w:val="center"/>
        <w:rPr>
          <w:rFonts w:ascii="Times New Roman" w:hAnsi="Times New Roman" w:cs="Times New Roman"/>
          <w:sz w:val="24"/>
          <w:szCs w:val="24"/>
        </w:rPr>
      </w:pPr>
      <w:r>
        <w:rPr>
          <w:noProof/>
          <w:lang w:eastAsia="bg-BG"/>
        </w:rPr>
        <w:drawing>
          <wp:inline distT="0" distB="0" distL="0" distR="0" wp14:anchorId="294D4CCF" wp14:editId="15887C3D">
            <wp:extent cx="4791075" cy="3409950"/>
            <wp:effectExtent l="0" t="0" r="952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8698C" w:rsidRPr="00C17917" w:rsidRDefault="00C17917" w:rsidP="00C17917">
      <w:pPr>
        <w:pStyle w:val="Caption"/>
        <w:jc w:val="center"/>
        <w:rPr>
          <w:rFonts w:ascii="Times New Roman" w:hAnsi="Times New Roman" w:cs="Times New Roman"/>
          <w:b w:val="0"/>
          <w:i/>
          <w:color w:val="000000" w:themeColor="text1"/>
          <w:sz w:val="24"/>
          <w:szCs w:val="24"/>
        </w:rPr>
      </w:pPr>
      <w:bookmarkStart w:id="32" w:name="_Toc510702867"/>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21</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98698C" w:rsidRPr="00C17917">
        <w:rPr>
          <w:rFonts w:ascii="Times New Roman" w:hAnsi="Times New Roman" w:cs="Times New Roman"/>
          <w:b w:val="0"/>
          <w:i/>
          <w:color w:val="000000" w:themeColor="text1"/>
          <w:sz w:val="24"/>
          <w:szCs w:val="24"/>
        </w:rPr>
        <w:t>Приоритет 4: Разпределение на финансови ресурси по общини</w:t>
      </w:r>
      <w:bookmarkEnd w:id="32"/>
    </w:p>
    <w:p w:rsidR="00E7781B" w:rsidRPr="008B67C5" w:rsidRDefault="00E7781B" w:rsidP="00E7781B">
      <w:pPr>
        <w:spacing w:line="360" w:lineRule="auto"/>
        <w:jc w:val="both"/>
        <w:rPr>
          <w:rFonts w:ascii="Times New Roman" w:hAnsi="Times New Roman" w:cs="Times New Roman"/>
          <w:sz w:val="24"/>
          <w:szCs w:val="24"/>
        </w:rPr>
      </w:pPr>
    </w:p>
    <w:p w:rsidR="00E7781B" w:rsidRDefault="00E7781B" w:rsidP="00E7781B">
      <w:pPr>
        <w:widowControl w:val="0"/>
        <w:autoSpaceDE w:val="0"/>
        <w:autoSpaceDN w:val="0"/>
        <w:adjustRightInd w:val="0"/>
        <w:spacing w:after="0" w:line="360" w:lineRule="auto"/>
        <w:jc w:val="both"/>
        <w:rPr>
          <w:rFonts w:ascii="Times New Roman" w:hAnsi="Times New Roman" w:cs="Times New Roman"/>
          <w:sz w:val="24"/>
          <w:szCs w:val="24"/>
        </w:rPr>
      </w:pPr>
      <w:r w:rsidRPr="00EC6DF8">
        <w:rPr>
          <w:rFonts w:ascii="Times New Roman" w:hAnsi="Times New Roman" w:cs="Times New Roman"/>
          <w:sz w:val="24"/>
          <w:szCs w:val="24"/>
        </w:rPr>
        <w:tab/>
        <w:t>Значителни финансови ресурси са привлечени от различни оперативни програми за периода 2014-2020, които са отчетени индикативно в ИСУН за годините 2015 и 2016. Това са средства по одобрени проекти със сключени договори, които се изпълняват в момента на разработване на оценката. Общата стойност възлиза на 24 764 хил. лв.</w:t>
      </w:r>
      <w:r>
        <w:rPr>
          <w:rFonts w:ascii="Times New Roman" w:hAnsi="Times New Roman" w:cs="Times New Roman"/>
          <w:sz w:val="24"/>
          <w:szCs w:val="24"/>
        </w:rPr>
        <w:t xml:space="preserve"> От тях над 3 млн. лв. са отнесени за 2015 г., а над 21 млн. лв. за реализация през 2016 г.</w:t>
      </w:r>
      <w:r w:rsidRPr="00EC6DF8">
        <w:rPr>
          <w:rFonts w:ascii="Times New Roman" w:hAnsi="Times New Roman" w:cs="Times New Roman"/>
          <w:sz w:val="24"/>
          <w:szCs w:val="24"/>
        </w:rPr>
        <w:t xml:space="preserve"> Тяхното разпределение по приоритети е представено във фигурата по-долу. Проекти, допринасящи за изпълнението на Приоритет 4 не са отчетени. Тези проекти се реализират във всички общини на територията на област Ловеч.</w:t>
      </w:r>
      <w:r>
        <w:rPr>
          <w:rFonts w:ascii="Times New Roman" w:hAnsi="Times New Roman" w:cs="Times New Roman"/>
          <w:sz w:val="24"/>
          <w:szCs w:val="24"/>
        </w:rPr>
        <w:t xml:space="preserve"> Наблюдава се изпълнение на проекти по Приоритет 3 не само в община Ловеч, но и в общините Луковит, Априлци, Ябланица и Троян. Успешното финализиране на тези проекти и плащанията по тях ще допринесат за изпълнение на поставените цели в ОСР Ловеч към 2020 г. </w:t>
      </w:r>
    </w:p>
    <w:p w:rsidR="00E7781B" w:rsidRDefault="00E7781B" w:rsidP="0098698C">
      <w:pPr>
        <w:widowControl w:val="0"/>
        <w:autoSpaceDE w:val="0"/>
        <w:autoSpaceDN w:val="0"/>
        <w:adjustRightInd w:val="0"/>
        <w:spacing w:after="0" w:line="360" w:lineRule="auto"/>
        <w:jc w:val="center"/>
        <w:rPr>
          <w:rFonts w:ascii="Times New Roman" w:hAnsi="Times New Roman" w:cs="Times New Roman"/>
          <w:sz w:val="24"/>
          <w:szCs w:val="24"/>
          <w:highlight w:val="yellow"/>
        </w:rPr>
      </w:pPr>
      <w:r>
        <w:rPr>
          <w:noProof/>
          <w:lang w:eastAsia="bg-BG"/>
        </w:rPr>
        <w:drawing>
          <wp:inline distT="0" distB="0" distL="0" distR="0" wp14:anchorId="1D2A7300" wp14:editId="008A8B6A">
            <wp:extent cx="4572000" cy="3090863"/>
            <wp:effectExtent l="0" t="0" r="0" b="146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8698C" w:rsidRPr="00C17917" w:rsidRDefault="00C17917" w:rsidP="00C17917">
      <w:pPr>
        <w:pStyle w:val="Caption"/>
        <w:jc w:val="center"/>
        <w:rPr>
          <w:rFonts w:ascii="Times New Roman" w:hAnsi="Times New Roman" w:cs="Times New Roman"/>
          <w:b w:val="0"/>
          <w:i/>
          <w:color w:val="000000" w:themeColor="text1"/>
          <w:sz w:val="24"/>
          <w:szCs w:val="24"/>
        </w:rPr>
      </w:pPr>
      <w:bookmarkStart w:id="33" w:name="_Toc510702868"/>
      <w:r w:rsidRPr="00C17917">
        <w:rPr>
          <w:rFonts w:ascii="Times New Roman" w:hAnsi="Times New Roman" w:cs="Times New Roman"/>
          <w:b w:val="0"/>
          <w:i/>
          <w:color w:val="000000" w:themeColor="text1"/>
          <w:sz w:val="24"/>
          <w:szCs w:val="24"/>
        </w:rPr>
        <w:t xml:space="preserve">Фигура </w:t>
      </w:r>
      <w:r w:rsidRPr="00C17917">
        <w:rPr>
          <w:rFonts w:ascii="Times New Roman" w:hAnsi="Times New Roman" w:cs="Times New Roman"/>
          <w:b w:val="0"/>
          <w:i/>
          <w:color w:val="000000" w:themeColor="text1"/>
          <w:sz w:val="24"/>
          <w:szCs w:val="24"/>
        </w:rPr>
        <w:fldChar w:fldCharType="begin"/>
      </w:r>
      <w:r w:rsidRPr="00C17917">
        <w:rPr>
          <w:rFonts w:ascii="Times New Roman" w:hAnsi="Times New Roman" w:cs="Times New Roman"/>
          <w:b w:val="0"/>
          <w:i/>
          <w:color w:val="000000" w:themeColor="text1"/>
          <w:sz w:val="24"/>
          <w:szCs w:val="24"/>
        </w:rPr>
        <w:instrText xml:space="preserve"> SEQ Фигура \* ARABIC </w:instrText>
      </w:r>
      <w:r w:rsidRPr="00C17917">
        <w:rPr>
          <w:rFonts w:ascii="Times New Roman" w:hAnsi="Times New Roman" w:cs="Times New Roman"/>
          <w:b w:val="0"/>
          <w:i/>
          <w:color w:val="000000" w:themeColor="text1"/>
          <w:sz w:val="24"/>
          <w:szCs w:val="24"/>
        </w:rPr>
        <w:fldChar w:fldCharType="separate"/>
      </w:r>
      <w:r w:rsidRPr="00C17917">
        <w:rPr>
          <w:rFonts w:ascii="Times New Roman" w:hAnsi="Times New Roman" w:cs="Times New Roman"/>
          <w:b w:val="0"/>
          <w:i/>
          <w:color w:val="000000" w:themeColor="text1"/>
          <w:sz w:val="24"/>
          <w:szCs w:val="24"/>
        </w:rPr>
        <w:t>22</w:t>
      </w:r>
      <w:r w:rsidRPr="00C17917">
        <w:rPr>
          <w:rFonts w:ascii="Times New Roman" w:hAnsi="Times New Roman" w:cs="Times New Roman"/>
          <w:b w:val="0"/>
          <w:i/>
          <w:color w:val="000000" w:themeColor="text1"/>
          <w:sz w:val="24"/>
          <w:szCs w:val="24"/>
        </w:rPr>
        <w:fldChar w:fldCharType="end"/>
      </w:r>
      <w:r w:rsidRPr="00C17917">
        <w:rPr>
          <w:rFonts w:ascii="Times New Roman" w:hAnsi="Times New Roman" w:cs="Times New Roman"/>
          <w:b w:val="0"/>
          <w:i/>
          <w:color w:val="000000" w:themeColor="text1"/>
          <w:sz w:val="24"/>
          <w:szCs w:val="24"/>
        </w:rPr>
        <w:t xml:space="preserve"> </w:t>
      </w:r>
      <w:r w:rsidR="0098698C" w:rsidRPr="00C17917">
        <w:rPr>
          <w:rFonts w:ascii="Times New Roman" w:hAnsi="Times New Roman" w:cs="Times New Roman"/>
          <w:b w:val="0"/>
          <w:i/>
          <w:color w:val="000000" w:themeColor="text1"/>
          <w:sz w:val="24"/>
          <w:szCs w:val="24"/>
        </w:rPr>
        <w:t>Индикативни бюджети по сключени проекти от ИСУН 2014-2020</w:t>
      </w:r>
      <w:bookmarkEnd w:id="33"/>
    </w:p>
    <w:p w:rsidR="0098698C" w:rsidRDefault="0098698C" w:rsidP="00E7781B">
      <w:pPr>
        <w:widowControl w:val="0"/>
        <w:autoSpaceDE w:val="0"/>
        <w:autoSpaceDN w:val="0"/>
        <w:adjustRightInd w:val="0"/>
        <w:spacing w:after="0" w:line="360" w:lineRule="auto"/>
        <w:jc w:val="both"/>
        <w:rPr>
          <w:rFonts w:ascii="Times New Roman" w:hAnsi="Times New Roman" w:cs="Times New Roman"/>
          <w:sz w:val="24"/>
          <w:szCs w:val="24"/>
          <w:highlight w:val="yellow"/>
        </w:rPr>
      </w:pPr>
    </w:p>
    <w:p w:rsidR="00E7781B" w:rsidRPr="00B908EE" w:rsidRDefault="00E7781B" w:rsidP="00B908EE">
      <w:pPr>
        <w:widowControl w:val="0"/>
        <w:autoSpaceDE w:val="0"/>
        <w:autoSpaceDN w:val="0"/>
        <w:adjustRightInd w:val="0"/>
        <w:spacing w:after="0" w:line="360" w:lineRule="auto"/>
        <w:ind w:firstLine="708"/>
        <w:jc w:val="both"/>
        <w:rPr>
          <w:rFonts w:ascii="Times New Roman" w:hAnsi="Times New Roman" w:cs="Times New Roman"/>
          <w:b/>
          <w:i/>
          <w:color w:val="365F91" w:themeColor="accent1" w:themeShade="BF"/>
          <w:sz w:val="24"/>
          <w:szCs w:val="24"/>
        </w:rPr>
      </w:pPr>
      <w:r w:rsidRPr="00B908EE">
        <w:rPr>
          <w:rFonts w:ascii="Times New Roman" w:hAnsi="Times New Roman" w:cs="Times New Roman"/>
          <w:b/>
          <w:i/>
          <w:color w:val="365F91" w:themeColor="accent1" w:themeShade="BF"/>
          <w:sz w:val="24"/>
          <w:szCs w:val="24"/>
        </w:rPr>
        <w:t xml:space="preserve">Изводи: </w:t>
      </w:r>
    </w:p>
    <w:p w:rsidR="00E7781B" w:rsidRDefault="00E7781B" w:rsidP="00E7781B">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Анализът на вложените финансови ресурси при изпълнението на ОСР Ловеч показва инвестирането на над 104 млн. лв. за реализиранията на разнообразни дейности и проекти. Приоритет 1 се определя с изключително добро ниво на изпълнение. По Приоритет 2 са реализирани многобройни проекти с не голям финансов ресурс поради същността на проектите, предполагащи меки мерки, което показва ефикасност при ползване на средствата. При проектите, допринасящи за Приоритет 3 се наблюдава се силна териториална поляризация на реализираните финанси, съсредоточени главно в община Ловеч. До 2020 г. следва да се наблегне на подпомагането за реализиране на проекти, целящи модернизация и развитие на местната икономика и в останалите общини в областта.</w:t>
      </w:r>
      <w:r w:rsidR="00F418B7">
        <w:rPr>
          <w:rFonts w:ascii="Times New Roman" w:hAnsi="Times New Roman" w:cs="Times New Roman"/>
          <w:sz w:val="24"/>
          <w:szCs w:val="24"/>
        </w:rPr>
        <w:t xml:space="preserve"> </w:t>
      </w:r>
    </w:p>
    <w:p w:rsidR="00E7781B" w:rsidRPr="0003118A" w:rsidRDefault="00E7781B" w:rsidP="00F418B7">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Приоритет 4 има слабо изпълнение поради комбинация от фактори. До края на действие на ОСР Ловеч областната и общинските администрации следва да съсредоточат усилия в отчетност на проекти, допринасящи постигането на този приоритет и разпространение на възможности за финансиране по него сред широката общественост и бизнеса.</w:t>
      </w:r>
    </w:p>
    <w:p w:rsidR="00092089" w:rsidRDefault="00092089" w:rsidP="0022382A">
      <w:pPr>
        <w:spacing w:after="0" w:line="360" w:lineRule="auto"/>
        <w:ind w:firstLine="680"/>
        <w:jc w:val="both"/>
        <w:rPr>
          <w:rFonts w:ascii="Times New Roman" w:eastAsia="Times New Roman" w:hAnsi="Times New Roman" w:cs="Times New Roman"/>
          <w:sz w:val="24"/>
          <w:szCs w:val="24"/>
          <w:lang w:eastAsia="bg-BG"/>
        </w:rPr>
      </w:pPr>
    </w:p>
    <w:p w:rsidR="00092089" w:rsidRDefault="00092089" w:rsidP="0022382A">
      <w:pPr>
        <w:spacing w:after="0" w:line="360" w:lineRule="auto"/>
        <w:ind w:firstLine="680"/>
        <w:jc w:val="both"/>
        <w:rPr>
          <w:rFonts w:ascii="Times New Roman" w:eastAsia="Times New Roman" w:hAnsi="Times New Roman" w:cs="Times New Roman"/>
          <w:sz w:val="24"/>
          <w:szCs w:val="24"/>
          <w:lang w:eastAsia="bg-BG"/>
        </w:rPr>
      </w:pPr>
    </w:p>
    <w:p w:rsidR="0098698C" w:rsidRDefault="0098698C">
      <w:pP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br w:type="page"/>
      </w:r>
    </w:p>
    <w:p w:rsidR="00F27428" w:rsidRPr="00F27428" w:rsidRDefault="00F27428" w:rsidP="0022382A">
      <w:pPr>
        <w:spacing w:after="0" w:line="360" w:lineRule="auto"/>
        <w:ind w:firstLine="680"/>
        <w:jc w:val="both"/>
        <w:rPr>
          <w:rFonts w:ascii="Times New Roman" w:eastAsia="Times New Roman" w:hAnsi="Times New Roman" w:cs="Times New Roman"/>
          <w:sz w:val="24"/>
          <w:szCs w:val="24"/>
          <w:lang w:eastAsia="bg-BG"/>
        </w:rPr>
      </w:pPr>
    </w:p>
    <w:p w:rsidR="00F27428" w:rsidRPr="00F27428" w:rsidRDefault="00F27428" w:rsidP="00F27428">
      <w:pPr>
        <w:pStyle w:val="Heading1"/>
        <w:numPr>
          <w:ilvl w:val="0"/>
          <w:numId w:val="11"/>
        </w:numPr>
        <w:spacing w:before="0" w:after="120" w:line="240" w:lineRule="auto"/>
        <w:rPr>
          <w:rFonts w:eastAsia="Times New Roman"/>
        </w:rPr>
      </w:pPr>
      <w:bookmarkStart w:id="34" w:name="_Toc510702811"/>
      <w:r w:rsidRPr="00F27428">
        <w:rPr>
          <w:rFonts w:eastAsia="Times New Roman"/>
        </w:rPr>
        <w:t xml:space="preserve">Оценка на координацията </w:t>
      </w:r>
      <w:r w:rsidR="00A522C7">
        <w:rPr>
          <w:rFonts w:eastAsia="Times New Roman"/>
        </w:rPr>
        <w:t>на ОСР 2014-2020 г. на област Ловеч</w:t>
      </w:r>
      <w:bookmarkEnd w:id="34"/>
      <w:r w:rsidR="00A522C7">
        <w:rPr>
          <w:rFonts w:eastAsia="Times New Roman"/>
        </w:rPr>
        <w:t xml:space="preserve"> </w:t>
      </w:r>
    </w:p>
    <w:p w:rsidR="00F27428" w:rsidRPr="00831A64" w:rsidRDefault="00F27428" w:rsidP="00831A64">
      <w:pPr>
        <w:spacing w:after="0" w:line="360" w:lineRule="auto"/>
        <w:ind w:firstLine="680"/>
        <w:jc w:val="both"/>
        <w:rPr>
          <w:rFonts w:ascii="Times New Roman" w:eastAsia="Times New Roman" w:hAnsi="Times New Roman" w:cs="Times New Roman"/>
          <w:sz w:val="24"/>
          <w:szCs w:val="24"/>
          <w:lang w:eastAsia="bg-BG"/>
        </w:rPr>
      </w:pPr>
    </w:p>
    <w:p w:rsidR="00E04C6F" w:rsidRPr="00831A64" w:rsidRDefault="00831A64" w:rsidP="00831A64">
      <w:pPr>
        <w:pStyle w:val="Default"/>
        <w:spacing w:line="360" w:lineRule="auto"/>
        <w:ind w:firstLine="708"/>
        <w:jc w:val="both"/>
      </w:pPr>
      <w:r w:rsidRPr="00003AB1">
        <w:rPr>
          <w:b/>
        </w:rPr>
        <w:t xml:space="preserve">В </w:t>
      </w:r>
      <w:r w:rsidR="00E04C6F" w:rsidRPr="00003AB1">
        <w:rPr>
          <w:b/>
        </w:rPr>
        <w:t>ОСР</w:t>
      </w:r>
      <w:r w:rsidRPr="00003AB1">
        <w:rPr>
          <w:b/>
        </w:rPr>
        <w:t xml:space="preserve"> на област Ловеч</w:t>
      </w:r>
      <w:r w:rsidRPr="00831A64">
        <w:t xml:space="preserve"> е описана системата за мониторинг на изпълнението на областната стратегия</w:t>
      </w:r>
      <w:r>
        <w:t>.</w:t>
      </w:r>
    </w:p>
    <w:p w:rsidR="00E04C6F" w:rsidRPr="00831A64" w:rsidRDefault="00E04C6F" w:rsidP="00831A64">
      <w:pPr>
        <w:spacing w:after="0" w:line="360" w:lineRule="auto"/>
        <w:ind w:firstLine="720"/>
        <w:jc w:val="both"/>
        <w:rPr>
          <w:rFonts w:ascii="Times New Roman" w:hAnsi="Times New Roman" w:cs="Times New Roman"/>
          <w:sz w:val="24"/>
          <w:szCs w:val="24"/>
        </w:rPr>
      </w:pPr>
      <w:r w:rsidRPr="00831A64">
        <w:rPr>
          <w:rFonts w:ascii="Times New Roman" w:hAnsi="Times New Roman" w:cs="Times New Roman"/>
          <w:sz w:val="24"/>
          <w:szCs w:val="24"/>
        </w:rPr>
        <w:t>Областният управител отговаря пряко за разработването и изпълнението на Областната стратегията за развитие на област Ловеч.</w:t>
      </w:r>
    </w:p>
    <w:p w:rsidR="002C7360" w:rsidRPr="00831A64" w:rsidRDefault="002C7360" w:rsidP="00831A64">
      <w:pPr>
        <w:spacing w:after="0" w:line="360" w:lineRule="auto"/>
        <w:ind w:firstLine="720"/>
        <w:jc w:val="both"/>
        <w:rPr>
          <w:rFonts w:ascii="Times New Roman" w:hAnsi="Times New Roman" w:cs="Times New Roman"/>
          <w:sz w:val="24"/>
          <w:szCs w:val="24"/>
        </w:rPr>
      </w:pPr>
      <w:r w:rsidRPr="00831A64">
        <w:rPr>
          <w:rFonts w:ascii="Times New Roman" w:hAnsi="Times New Roman" w:cs="Times New Roman"/>
          <w:sz w:val="24"/>
          <w:szCs w:val="24"/>
        </w:rPr>
        <w:t>Областният съвет за развитие:</w:t>
      </w:r>
    </w:p>
    <w:p w:rsidR="002C7360" w:rsidRPr="00831A64" w:rsidRDefault="002C7360" w:rsidP="00831A64">
      <w:pPr>
        <w:pStyle w:val="Default"/>
        <w:numPr>
          <w:ilvl w:val="0"/>
          <w:numId w:val="32"/>
        </w:numPr>
        <w:spacing w:line="360" w:lineRule="auto"/>
        <w:ind w:left="1134"/>
        <w:jc w:val="both"/>
      </w:pPr>
      <w:r w:rsidRPr="00831A64">
        <w:t>определя концепцията, структурата и съдържанието на ОСР;</w:t>
      </w:r>
    </w:p>
    <w:p w:rsidR="002C7360" w:rsidRPr="00831A64" w:rsidRDefault="002C7360" w:rsidP="00831A64">
      <w:pPr>
        <w:pStyle w:val="Default"/>
        <w:numPr>
          <w:ilvl w:val="0"/>
          <w:numId w:val="32"/>
        </w:numPr>
        <w:spacing w:line="360" w:lineRule="auto"/>
        <w:ind w:left="1134"/>
        <w:jc w:val="both"/>
      </w:pPr>
      <w:r w:rsidRPr="00831A64">
        <w:t>предлага работните групи за разработване и наблюдение на изпълнението на ОСР;</w:t>
      </w:r>
    </w:p>
    <w:p w:rsidR="002C7360" w:rsidRPr="00831A64" w:rsidRDefault="002C7360" w:rsidP="00831A64">
      <w:pPr>
        <w:pStyle w:val="Default"/>
        <w:numPr>
          <w:ilvl w:val="0"/>
          <w:numId w:val="32"/>
        </w:numPr>
        <w:spacing w:line="360" w:lineRule="auto"/>
        <w:ind w:left="1134"/>
        <w:jc w:val="both"/>
      </w:pPr>
      <w:r w:rsidRPr="00831A64">
        <w:t>приема ОСР  и отчетите за изпълнение;</w:t>
      </w:r>
    </w:p>
    <w:p w:rsidR="002C7360" w:rsidRPr="00831A64" w:rsidRDefault="002C7360" w:rsidP="00831A64">
      <w:pPr>
        <w:pStyle w:val="Default"/>
        <w:numPr>
          <w:ilvl w:val="0"/>
          <w:numId w:val="32"/>
        </w:numPr>
        <w:spacing w:line="360" w:lineRule="auto"/>
        <w:ind w:left="1134"/>
        <w:jc w:val="both"/>
      </w:pPr>
      <w:r w:rsidRPr="00831A64">
        <w:t>организира изпълнението на ОСР като координира действията на местните власти, НПО и други органи и организации;</w:t>
      </w:r>
    </w:p>
    <w:p w:rsidR="002C7360" w:rsidRPr="00831A64" w:rsidRDefault="002C7360" w:rsidP="00831A64">
      <w:pPr>
        <w:pStyle w:val="Default"/>
        <w:numPr>
          <w:ilvl w:val="0"/>
          <w:numId w:val="32"/>
        </w:numPr>
        <w:spacing w:line="360" w:lineRule="auto"/>
        <w:ind w:left="1134"/>
        <w:jc w:val="both"/>
      </w:pPr>
      <w:r w:rsidRPr="00831A64">
        <w:t>лобира пред централните органи и институции за изпълнение на дейностите.</w:t>
      </w:r>
    </w:p>
    <w:p w:rsidR="00E04C6F" w:rsidRPr="00831A64" w:rsidRDefault="00E04C6F" w:rsidP="00831A64">
      <w:pPr>
        <w:spacing w:after="0" w:line="360" w:lineRule="auto"/>
        <w:ind w:firstLine="708"/>
        <w:jc w:val="both"/>
        <w:rPr>
          <w:rFonts w:ascii="Times New Roman" w:hAnsi="Times New Roman" w:cs="Times New Roman"/>
          <w:sz w:val="24"/>
          <w:szCs w:val="24"/>
        </w:rPr>
      </w:pPr>
      <w:r w:rsidRPr="00831A64">
        <w:rPr>
          <w:rFonts w:ascii="Times New Roman" w:hAnsi="Times New Roman" w:cs="Times New Roman"/>
          <w:sz w:val="24"/>
          <w:szCs w:val="24"/>
        </w:rPr>
        <w:t>За наблюдение и оценка на реализацията на ОСР се създава Мониторингова група, в която се включват: зам. областен управител, кмет на община, ръководители на работодателска организация, синдикат, инфраструктурно предприятие и НПО. Съставът на групата се предлага от Областния управител и се одобрява от Областни</w:t>
      </w:r>
      <w:r w:rsidR="003C4D41" w:rsidRPr="00831A64">
        <w:rPr>
          <w:rFonts w:ascii="Times New Roman" w:hAnsi="Times New Roman" w:cs="Times New Roman"/>
          <w:sz w:val="24"/>
          <w:szCs w:val="24"/>
        </w:rPr>
        <w:t>я съвет за развитие.</w:t>
      </w:r>
    </w:p>
    <w:p w:rsidR="00E04C6F" w:rsidRPr="00831A64" w:rsidRDefault="00E04C6F" w:rsidP="00831A64">
      <w:pPr>
        <w:spacing w:after="0" w:line="360" w:lineRule="auto"/>
        <w:ind w:firstLine="720"/>
        <w:jc w:val="both"/>
        <w:rPr>
          <w:rFonts w:ascii="Times New Roman" w:hAnsi="Times New Roman" w:cs="Times New Roman"/>
          <w:sz w:val="24"/>
          <w:szCs w:val="24"/>
        </w:rPr>
      </w:pPr>
      <w:r w:rsidRPr="00831A64">
        <w:rPr>
          <w:rFonts w:ascii="Times New Roman" w:hAnsi="Times New Roman" w:cs="Times New Roman"/>
          <w:sz w:val="24"/>
          <w:szCs w:val="24"/>
        </w:rPr>
        <w:t>Дейности на мониторинговата група:</w:t>
      </w:r>
    </w:p>
    <w:p w:rsidR="00E04C6F" w:rsidRPr="00831A64" w:rsidRDefault="00E04C6F" w:rsidP="00831A64">
      <w:pPr>
        <w:pStyle w:val="Default"/>
        <w:numPr>
          <w:ilvl w:val="0"/>
          <w:numId w:val="32"/>
        </w:numPr>
        <w:spacing w:line="360" w:lineRule="auto"/>
        <w:ind w:left="1134"/>
        <w:jc w:val="both"/>
      </w:pPr>
      <w:r w:rsidRPr="00831A64">
        <w:t>наблюдава цялостния процес на изпълнение на стратегията;</w:t>
      </w:r>
    </w:p>
    <w:p w:rsidR="00E04C6F" w:rsidRPr="00831A64" w:rsidRDefault="00E04C6F" w:rsidP="00831A64">
      <w:pPr>
        <w:pStyle w:val="Default"/>
        <w:numPr>
          <w:ilvl w:val="0"/>
          <w:numId w:val="32"/>
        </w:numPr>
        <w:spacing w:line="360" w:lineRule="auto"/>
        <w:ind w:left="1134"/>
        <w:jc w:val="both"/>
      </w:pPr>
      <w:r w:rsidRPr="00831A64">
        <w:t>изготвя ежегоден доклад до Областния съвет за развитие за успехите, неуспехите, проблемите и причините за тях при изпълнението на стратегията, като въз основа на него се взема решение за актуализация на стратегията;</w:t>
      </w:r>
    </w:p>
    <w:p w:rsidR="00E04C6F" w:rsidRPr="00831A64" w:rsidRDefault="00E04C6F" w:rsidP="00831A64">
      <w:pPr>
        <w:pStyle w:val="Default"/>
        <w:numPr>
          <w:ilvl w:val="0"/>
          <w:numId w:val="32"/>
        </w:numPr>
        <w:spacing w:line="360" w:lineRule="auto"/>
        <w:ind w:left="1134"/>
        <w:jc w:val="both"/>
      </w:pPr>
      <w:r w:rsidRPr="00831A64">
        <w:t>представя на Областния управител и Областния съвет за развитие предложение за оценка на изпълнението на стратегията и последващи решения.</w:t>
      </w:r>
    </w:p>
    <w:p w:rsidR="00E04C6F" w:rsidRPr="00831A64" w:rsidRDefault="00E04C6F" w:rsidP="00831A64">
      <w:pPr>
        <w:spacing w:after="0" w:line="360" w:lineRule="auto"/>
        <w:ind w:firstLine="708"/>
        <w:jc w:val="both"/>
        <w:rPr>
          <w:rFonts w:ascii="Times New Roman" w:hAnsi="Times New Roman" w:cs="Times New Roman"/>
          <w:sz w:val="24"/>
          <w:szCs w:val="24"/>
        </w:rPr>
      </w:pPr>
      <w:r w:rsidRPr="00831A64">
        <w:rPr>
          <w:rFonts w:ascii="Times New Roman" w:hAnsi="Times New Roman" w:cs="Times New Roman"/>
          <w:sz w:val="24"/>
          <w:szCs w:val="24"/>
        </w:rPr>
        <w:t>Мониторинговата група изготвя оценка, която отчита ефективността на използваните ресурси, анализ на положителните и отрицателните фактори при изпълнението на стратегията, изводи и препоръки относно прилагането на политиката за регионално развитие при планирането за следващия програмен период.</w:t>
      </w:r>
    </w:p>
    <w:p w:rsidR="00DD5A74" w:rsidRDefault="00DD5A74" w:rsidP="00DD5A74">
      <w:pPr>
        <w:spacing w:after="0" w:line="360" w:lineRule="auto"/>
        <w:ind w:firstLine="708"/>
        <w:jc w:val="both"/>
        <w:rPr>
          <w:rFonts w:ascii="Times New Roman" w:hAnsi="Times New Roman" w:cs="Times New Roman"/>
          <w:sz w:val="24"/>
          <w:szCs w:val="24"/>
        </w:rPr>
      </w:pPr>
      <w:r w:rsidRPr="00E71DFE">
        <w:rPr>
          <w:rFonts w:ascii="Times New Roman" w:hAnsi="Times New Roman" w:cs="Times New Roman"/>
          <w:b/>
          <w:sz w:val="24"/>
          <w:szCs w:val="24"/>
        </w:rPr>
        <w:t>В Закона за регионално развитие</w:t>
      </w:r>
      <w:r>
        <w:rPr>
          <w:rFonts w:ascii="Times New Roman" w:hAnsi="Times New Roman" w:cs="Times New Roman"/>
          <w:sz w:val="24"/>
          <w:szCs w:val="24"/>
        </w:rPr>
        <w:t xml:space="preserve"> е заложено, че н</w:t>
      </w:r>
      <w:r w:rsidRPr="00DD5A74">
        <w:rPr>
          <w:rFonts w:ascii="Times New Roman" w:hAnsi="Times New Roman" w:cs="Times New Roman"/>
          <w:sz w:val="24"/>
          <w:szCs w:val="24"/>
        </w:rPr>
        <w:t>аблюдението на изпълнението на националната стратегия за регионално развитие и на областните стратегии за развитие се извършва на основата на резултатите от наблюдението и оценката на изпълнението на документите за стратегическо планиране на регионалното развитие по чл. 9, ал. 1, т. 2 и 4.</w:t>
      </w:r>
      <w:r>
        <w:rPr>
          <w:rFonts w:ascii="Times New Roman" w:hAnsi="Times New Roman" w:cs="Times New Roman"/>
          <w:sz w:val="24"/>
          <w:szCs w:val="24"/>
        </w:rPr>
        <w:t xml:space="preserve">, а именно </w:t>
      </w:r>
      <w:r w:rsidRPr="00DD5A74">
        <w:rPr>
          <w:rFonts w:ascii="Times New Roman" w:hAnsi="Times New Roman" w:cs="Times New Roman"/>
          <w:sz w:val="24"/>
          <w:szCs w:val="24"/>
        </w:rPr>
        <w:t>регионалните планове за развитие и общинските планове за развитие</w:t>
      </w:r>
      <w:r w:rsidR="00E71DFE">
        <w:rPr>
          <w:rFonts w:ascii="Times New Roman" w:hAnsi="Times New Roman" w:cs="Times New Roman"/>
          <w:sz w:val="24"/>
          <w:szCs w:val="24"/>
        </w:rPr>
        <w:t>.</w:t>
      </w:r>
    </w:p>
    <w:p w:rsidR="00003AB1" w:rsidRDefault="00472B19" w:rsidP="00831A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Оценка на документите за регионалното развитие се извършва чрез изготвяне на предварителни, междинни и последващи оценки. </w:t>
      </w:r>
    </w:p>
    <w:p w:rsidR="003147C9" w:rsidRPr="003147C9" w:rsidRDefault="003147C9" w:rsidP="003147C9">
      <w:pPr>
        <w:spacing w:after="0" w:line="360" w:lineRule="auto"/>
        <w:ind w:firstLine="708"/>
        <w:jc w:val="both"/>
        <w:rPr>
          <w:rFonts w:ascii="Times New Roman" w:hAnsi="Times New Roman" w:cs="Times New Roman"/>
          <w:sz w:val="24"/>
          <w:szCs w:val="24"/>
        </w:rPr>
      </w:pPr>
      <w:r w:rsidRPr="003147C9">
        <w:rPr>
          <w:rFonts w:ascii="Times New Roman" w:hAnsi="Times New Roman" w:cs="Times New Roman"/>
          <w:sz w:val="24"/>
          <w:szCs w:val="24"/>
        </w:rPr>
        <w:t>За осигуряване на информация и публичност на изпълнението на областната стратегия за развитие се изготвят междинен и окончателен доклад.</w:t>
      </w:r>
      <w:r w:rsidR="00E71DFE">
        <w:rPr>
          <w:rFonts w:ascii="Times New Roman" w:hAnsi="Times New Roman" w:cs="Times New Roman"/>
          <w:sz w:val="24"/>
          <w:szCs w:val="24"/>
        </w:rPr>
        <w:t xml:space="preserve"> </w:t>
      </w:r>
      <w:r w:rsidRPr="003147C9">
        <w:rPr>
          <w:rFonts w:ascii="Times New Roman" w:hAnsi="Times New Roman" w:cs="Times New Roman"/>
          <w:sz w:val="24"/>
          <w:szCs w:val="24"/>
        </w:rPr>
        <w:t>Изготвянето на докладите се организира от областния управител.</w:t>
      </w:r>
    </w:p>
    <w:p w:rsidR="003147C9" w:rsidRPr="003147C9" w:rsidRDefault="003147C9" w:rsidP="003147C9">
      <w:pPr>
        <w:spacing w:after="0" w:line="360" w:lineRule="auto"/>
        <w:ind w:firstLine="708"/>
        <w:jc w:val="both"/>
        <w:rPr>
          <w:rFonts w:ascii="Times New Roman" w:hAnsi="Times New Roman" w:cs="Times New Roman"/>
          <w:sz w:val="24"/>
          <w:szCs w:val="24"/>
        </w:rPr>
      </w:pPr>
      <w:r w:rsidRPr="003147C9">
        <w:rPr>
          <w:rFonts w:ascii="Times New Roman" w:hAnsi="Times New Roman" w:cs="Times New Roman"/>
          <w:sz w:val="24"/>
          <w:szCs w:val="24"/>
        </w:rPr>
        <w:t xml:space="preserve"> </w:t>
      </w:r>
    </w:p>
    <w:p w:rsidR="00DD5A74" w:rsidRPr="00C532F8" w:rsidRDefault="00C532F8" w:rsidP="00831A64">
      <w:pPr>
        <w:spacing w:after="0" w:line="360" w:lineRule="auto"/>
        <w:ind w:firstLine="708"/>
        <w:jc w:val="both"/>
        <w:rPr>
          <w:rFonts w:ascii="Times New Roman" w:hAnsi="Times New Roman" w:cs="Times New Roman"/>
          <w:b/>
          <w:i/>
          <w:color w:val="365F91" w:themeColor="accent1" w:themeShade="BF"/>
          <w:sz w:val="24"/>
          <w:szCs w:val="24"/>
        </w:rPr>
      </w:pPr>
      <w:r w:rsidRPr="00C532F8">
        <w:rPr>
          <w:rFonts w:ascii="Times New Roman" w:hAnsi="Times New Roman" w:cs="Times New Roman"/>
          <w:b/>
          <w:i/>
          <w:color w:val="365F91" w:themeColor="accent1" w:themeShade="BF"/>
          <w:sz w:val="24"/>
          <w:szCs w:val="24"/>
        </w:rPr>
        <w:t xml:space="preserve">Изводи: </w:t>
      </w:r>
    </w:p>
    <w:p w:rsidR="00807D54" w:rsidRDefault="00807D54" w:rsidP="00831A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периода на изпълнение 2014-2016 г. в областна администрация Ловеч не е сформирана </w:t>
      </w:r>
      <w:r w:rsidR="00A252F1">
        <w:rPr>
          <w:rFonts w:ascii="Times New Roman" w:hAnsi="Times New Roman" w:cs="Times New Roman"/>
          <w:sz w:val="24"/>
          <w:szCs w:val="24"/>
        </w:rPr>
        <w:t>м</w:t>
      </w:r>
      <w:r>
        <w:rPr>
          <w:rFonts w:ascii="Times New Roman" w:hAnsi="Times New Roman" w:cs="Times New Roman"/>
          <w:sz w:val="24"/>
          <w:szCs w:val="24"/>
        </w:rPr>
        <w:t>ониторингова група.</w:t>
      </w:r>
      <w:r w:rsidR="00622C29">
        <w:rPr>
          <w:rFonts w:ascii="Times New Roman" w:hAnsi="Times New Roman" w:cs="Times New Roman"/>
          <w:sz w:val="24"/>
          <w:szCs w:val="24"/>
        </w:rPr>
        <w:t xml:space="preserve"> Е</w:t>
      </w:r>
      <w:r w:rsidR="00622C29" w:rsidRPr="00831A64">
        <w:rPr>
          <w:rFonts w:ascii="Times New Roman" w:hAnsi="Times New Roman" w:cs="Times New Roman"/>
          <w:sz w:val="24"/>
          <w:szCs w:val="24"/>
        </w:rPr>
        <w:t>жегодн</w:t>
      </w:r>
      <w:r w:rsidR="00622C29">
        <w:rPr>
          <w:rFonts w:ascii="Times New Roman" w:hAnsi="Times New Roman" w:cs="Times New Roman"/>
          <w:sz w:val="24"/>
          <w:szCs w:val="24"/>
        </w:rPr>
        <w:t>и</w:t>
      </w:r>
      <w:r w:rsidR="00622C29" w:rsidRPr="00831A64">
        <w:rPr>
          <w:rFonts w:ascii="Times New Roman" w:hAnsi="Times New Roman" w:cs="Times New Roman"/>
          <w:sz w:val="24"/>
          <w:szCs w:val="24"/>
        </w:rPr>
        <w:t xml:space="preserve"> доклад</w:t>
      </w:r>
      <w:r w:rsidR="00622C29">
        <w:rPr>
          <w:rFonts w:ascii="Times New Roman" w:hAnsi="Times New Roman" w:cs="Times New Roman"/>
          <w:sz w:val="24"/>
          <w:szCs w:val="24"/>
        </w:rPr>
        <w:t>и</w:t>
      </w:r>
      <w:r w:rsidR="00622C29" w:rsidRPr="00831A64">
        <w:rPr>
          <w:rFonts w:ascii="Times New Roman" w:hAnsi="Times New Roman" w:cs="Times New Roman"/>
          <w:sz w:val="24"/>
          <w:szCs w:val="24"/>
        </w:rPr>
        <w:t xml:space="preserve"> до Областния съвет за развитие за успехите, неуспехите, проблемите и причините за тях при изпълнението на стратегията</w:t>
      </w:r>
      <w:r w:rsidR="00622C29">
        <w:rPr>
          <w:rFonts w:ascii="Times New Roman" w:hAnsi="Times New Roman" w:cs="Times New Roman"/>
          <w:sz w:val="24"/>
          <w:szCs w:val="24"/>
        </w:rPr>
        <w:t xml:space="preserve"> не са представяни.</w:t>
      </w:r>
    </w:p>
    <w:p w:rsidR="00E04C6F" w:rsidRDefault="00622C29" w:rsidP="00831A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Областна администрация </w:t>
      </w:r>
      <w:r w:rsidR="00597EEE">
        <w:rPr>
          <w:rFonts w:ascii="Times New Roman" w:hAnsi="Times New Roman" w:cs="Times New Roman"/>
          <w:sz w:val="24"/>
          <w:szCs w:val="24"/>
        </w:rPr>
        <w:t>наблюдава изпълнението на ОСР чрез изпълнението на общинските планове за развитие на съставните общини. Администрацията п</w:t>
      </w:r>
      <w:r w:rsidR="003C4D41" w:rsidRPr="00831A64">
        <w:rPr>
          <w:rFonts w:ascii="Times New Roman" w:hAnsi="Times New Roman" w:cs="Times New Roman"/>
          <w:sz w:val="24"/>
          <w:szCs w:val="24"/>
        </w:rPr>
        <w:t xml:space="preserve">олучава </w:t>
      </w:r>
      <w:r w:rsidR="00597EEE">
        <w:rPr>
          <w:rFonts w:ascii="Times New Roman" w:hAnsi="Times New Roman" w:cs="Times New Roman"/>
          <w:sz w:val="24"/>
          <w:szCs w:val="24"/>
        </w:rPr>
        <w:t xml:space="preserve">ежегодни </w:t>
      </w:r>
      <w:r w:rsidR="003C4D41" w:rsidRPr="00831A64">
        <w:rPr>
          <w:rFonts w:ascii="Times New Roman" w:hAnsi="Times New Roman" w:cs="Times New Roman"/>
          <w:sz w:val="24"/>
          <w:szCs w:val="24"/>
        </w:rPr>
        <w:t>справк</w:t>
      </w:r>
      <w:r w:rsidR="00597EEE">
        <w:rPr>
          <w:rFonts w:ascii="Times New Roman" w:hAnsi="Times New Roman" w:cs="Times New Roman"/>
          <w:sz w:val="24"/>
          <w:szCs w:val="24"/>
        </w:rPr>
        <w:t>и</w:t>
      </w:r>
      <w:r w:rsidR="003C4D41" w:rsidRPr="00831A64">
        <w:rPr>
          <w:rFonts w:ascii="Times New Roman" w:hAnsi="Times New Roman" w:cs="Times New Roman"/>
          <w:sz w:val="24"/>
          <w:szCs w:val="24"/>
        </w:rPr>
        <w:t xml:space="preserve"> от общините относно изпълнени</w:t>
      </w:r>
      <w:r w:rsidR="00597EEE">
        <w:rPr>
          <w:rFonts w:ascii="Times New Roman" w:hAnsi="Times New Roman" w:cs="Times New Roman"/>
          <w:sz w:val="24"/>
          <w:szCs w:val="24"/>
        </w:rPr>
        <w:t>те</w:t>
      </w:r>
      <w:r w:rsidR="003C4D41" w:rsidRPr="00831A64">
        <w:rPr>
          <w:rFonts w:ascii="Times New Roman" w:hAnsi="Times New Roman" w:cs="Times New Roman"/>
          <w:sz w:val="24"/>
          <w:szCs w:val="24"/>
        </w:rPr>
        <w:t xml:space="preserve"> проекти</w:t>
      </w:r>
      <w:r w:rsidR="00F87C86">
        <w:rPr>
          <w:rFonts w:ascii="Times New Roman" w:hAnsi="Times New Roman" w:cs="Times New Roman"/>
          <w:sz w:val="24"/>
          <w:szCs w:val="24"/>
        </w:rPr>
        <w:t xml:space="preserve"> и годишни доклади за изпълнението на плановете.</w:t>
      </w:r>
    </w:p>
    <w:p w:rsidR="003147C9" w:rsidRPr="00831A64" w:rsidRDefault="003147C9" w:rsidP="00831A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Чрез настоящия доклад с резултатите от </w:t>
      </w:r>
      <w:r w:rsidR="002963B5">
        <w:rPr>
          <w:rFonts w:ascii="Times New Roman" w:hAnsi="Times New Roman" w:cs="Times New Roman"/>
          <w:sz w:val="24"/>
          <w:szCs w:val="24"/>
        </w:rPr>
        <w:t>М</w:t>
      </w:r>
      <w:r>
        <w:rPr>
          <w:rFonts w:ascii="Times New Roman" w:hAnsi="Times New Roman" w:cs="Times New Roman"/>
          <w:sz w:val="24"/>
          <w:szCs w:val="24"/>
        </w:rPr>
        <w:t>еждинната оценка на изпълнението на ОСР 2014-2020г. на област Ловеч</w:t>
      </w:r>
      <w:r w:rsidR="002963B5">
        <w:rPr>
          <w:rFonts w:ascii="Times New Roman" w:hAnsi="Times New Roman" w:cs="Times New Roman"/>
          <w:sz w:val="24"/>
          <w:szCs w:val="24"/>
        </w:rPr>
        <w:t>,</w:t>
      </w:r>
      <w:r>
        <w:rPr>
          <w:rFonts w:ascii="Times New Roman" w:hAnsi="Times New Roman" w:cs="Times New Roman"/>
          <w:sz w:val="24"/>
          <w:szCs w:val="24"/>
        </w:rPr>
        <w:t xml:space="preserve"> областна</w:t>
      </w:r>
      <w:r w:rsidR="002963B5">
        <w:rPr>
          <w:rFonts w:ascii="Times New Roman" w:hAnsi="Times New Roman" w:cs="Times New Roman"/>
          <w:sz w:val="24"/>
          <w:szCs w:val="24"/>
        </w:rPr>
        <w:t>та</w:t>
      </w:r>
      <w:r>
        <w:rPr>
          <w:rFonts w:ascii="Times New Roman" w:hAnsi="Times New Roman" w:cs="Times New Roman"/>
          <w:sz w:val="24"/>
          <w:szCs w:val="24"/>
        </w:rPr>
        <w:t xml:space="preserve"> администрация </w:t>
      </w:r>
      <w:r w:rsidR="002963B5">
        <w:rPr>
          <w:rFonts w:ascii="Times New Roman" w:hAnsi="Times New Roman" w:cs="Times New Roman"/>
          <w:sz w:val="24"/>
          <w:szCs w:val="24"/>
        </w:rPr>
        <w:t xml:space="preserve">получава </w:t>
      </w:r>
      <w:r w:rsidR="002963B5" w:rsidRPr="00831A64">
        <w:rPr>
          <w:rFonts w:ascii="Times New Roman" w:hAnsi="Times New Roman" w:cs="Times New Roman"/>
          <w:sz w:val="24"/>
          <w:szCs w:val="24"/>
        </w:rPr>
        <w:t>оценка, която отчита ефективността на използваните ресурси, анализ на положителните и отрицателните фактори при изпълнението на стратегията, изводи и препоръки относно прилагането на политиката за регионално развитие при планирането за следващия програмен период</w:t>
      </w:r>
      <w:r w:rsidR="002963B5">
        <w:rPr>
          <w:rFonts w:ascii="Times New Roman" w:hAnsi="Times New Roman" w:cs="Times New Roman"/>
          <w:sz w:val="24"/>
          <w:szCs w:val="24"/>
        </w:rPr>
        <w:t>.</w:t>
      </w:r>
    </w:p>
    <w:p w:rsidR="003C4D41" w:rsidRPr="00831A64" w:rsidRDefault="003C4D41" w:rsidP="00831A64">
      <w:pPr>
        <w:pStyle w:val="Default"/>
        <w:spacing w:line="360" w:lineRule="auto"/>
        <w:jc w:val="both"/>
        <w:rPr>
          <w:highlight w:val="yellow"/>
        </w:rPr>
      </w:pPr>
    </w:p>
    <w:p w:rsidR="004655BC" w:rsidRPr="00DC3C68" w:rsidRDefault="00241BEE" w:rsidP="00D16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 М</w:t>
      </w:r>
      <w:r w:rsidRPr="00DC3C68">
        <w:rPr>
          <w:rFonts w:ascii="Times New Roman" w:hAnsi="Times New Roman" w:cs="Times New Roman"/>
          <w:sz w:val="24"/>
          <w:szCs w:val="24"/>
        </w:rPr>
        <w:t>еждинна</w:t>
      </w:r>
      <w:r>
        <w:rPr>
          <w:rFonts w:ascii="Times New Roman" w:hAnsi="Times New Roman" w:cs="Times New Roman"/>
          <w:sz w:val="24"/>
          <w:szCs w:val="24"/>
        </w:rPr>
        <w:t>та</w:t>
      </w:r>
      <w:r w:rsidRPr="00DC3C68">
        <w:rPr>
          <w:rFonts w:ascii="Times New Roman" w:hAnsi="Times New Roman" w:cs="Times New Roman"/>
          <w:sz w:val="24"/>
          <w:szCs w:val="24"/>
        </w:rPr>
        <w:t xml:space="preserve"> оценка за изпълнението на регионалния план за развитие</w:t>
      </w:r>
      <w:r>
        <w:rPr>
          <w:rFonts w:ascii="Times New Roman" w:hAnsi="Times New Roman" w:cs="Times New Roman"/>
          <w:sz w:val="24"/>
          <w:szCs w:val="24"/>
        </w:rPr>
        <w:t xml:space="preserve"> на Северозападен район</w:t>
      </w:r>
      <w:r w:rsidRPr="00DC3C68">
        <w:rPr>
          <w:rFonts w:ascii="Times New Roman" w:hAnsi="Times New Roman" w:cs="Times New Roman"/>
          <w:sz w:val="24"/>
          <w:szCs w:val="24"/>
        </w:rPr>
        <w:t xml:space="preserve"> 2014-2020 г.</w:t>
      </w:r>
      <w:r w:rsidR="00D168D0">
        <w:rPr>
          <w:rFonts w:ascii="Times New Roman" w:hAnsi="Times New Roman" w:cs="Times New Roman"/>
          <w:sz w:val="24"/>
          <w:szCs w:val="24"/>
        </w:rPr>
        <w:t xml:space="preserve"> е направен извод, че:</w:t>
      </w:r>
    </w:p>
    <w:p w:rsidR="004655BC" w:rsidRPr="00DC3C68" w:rsidRDefault="004655BC" w:rsidP="00D168D0">
      <w:pPr>
        <w:spacing w:after="0" w:line="360" w:lineRule="auto"/>
        <w:ind w:firstLine="708"/>
        <w:jc w:val="both"/>
        <w:rPr>
          <w:rFonts w:ascii="Times New Roman" w:hAnsi="Times New Roman" w:cs="Times New Roman"/>
          <w:sz w:val="24"/>
          <w:szCs w:val="24"/>
        </w:rPr>
      </w:pPr>
      <w:r w:rsidRPr="00DC3C68">
        <w:rPr>
          <w:rFonts w:ascii="Times New Roman" w:hAnsi="Times New Roman" w:cs="Times New Roman"/>
          <w:sz w:val="24"/>
          <w:szCs w:val="24"/>
        </w:rPr>
        <w:t xml:space="preserve">Област Ловеч не отговаря на изискванията на Регламент (ЕО) № 1059/2003 г., според който населението в административните единици от ниво 3, следва да бъде най-малко 150 000 души.  Очаква се в бъдеще населението на областта да продължава да намалява. </w:t>
      </w:r>
    </w:p>
    <w:p w:rsidR="004655BC" w:rsidRDefault="004655BC" w:rsidP="00D168D0">
      <w:pPr>
        <w:spacing w:after="0" w:line="360" w:lineRule="auto"/>
        <w:ind w:firstLine="708"/>
        <w:jc w:val="both"/>
        <w:rPr>
          <w:rFonts w:ascii="Times New Roman" w:hAnsi="Times New Roman" w:cs="Times New Roman"/>
          <w:sz w:val="24"/>
          <w:szCs w:val="24"/>
        </w:rPr>
      </w:pPr>
      <w:r w:rsidRPr="00DC3C68">
        <w:rPr>
          <w:rFonts w:ascii="Times New Roman" w:hAnsi="Times New Roman" w:cs="Times New Roman"/>
          <w:sz w:val="24"/>
          <w:szCs w:val="24"/>
        </w:rPr>
        <w:t>Към октомври 2017 г. делът на договорените средства по програми, финансирани от фондовете на ЕС в област Ловеч е 9,4% от общите средства за СЗР. Разпределението на дела на средствата, които са изплатени (от общата сума на договорените в СЗР) в област Ловеч е 11,6%.</w:t>
      </w:r>
    </w:p>
    <w:p w:rsidR="00F27428" w:rsidRDefault="00F27428" w:rsidP="00D168D0">
      <w:pPr>
        <w:spacing w:after="0" w:line="360" w:lineRule="auto"/>
        <w:ind w:firstLine="708"/>
        <w:jc w:val="both"/>
        <w:rPr>
          <w:rFonts w:ascii="Times New Roman" w:hAnsi="Times New Roman" w:cs="Times New Roman"/>
          <w:sz w:val="24"/>
          <w:szCs w:val="24"/>
        </w:rPr>
      </w:pPr>
    </w:p>
    <w:p w:rsidR="00F87C86" w:rsidRDefault="00F87C86">
      <w:pPr>
        <w:rPr>
          <w:rFonts w:ascii="Times New Roman" w:hAnsi="Times New Roman" w:cs="Times New Roman"/>
          <w:sz w:val="24"/>
          <w:szCs w:val="24"/>
        </w:rPr>
      </w:pPr>
      <w:r>
        <w:rPr>
          <w:rFonts w:ascii="Times New Roman" w:hAnsi="Times New Roman" w:cs="Times New Roman"/>
          <w:sz w:val="24"/>
          <w:szCs w:val="24"/>
        </w:rPr>
        <w:br w:type="page"/>
      </w:r>
    </w:p>
    <w:p w:rsidR="00F27428" w:rsidRPr="00F27428" w:rsidRDefault="00F27428" w:rsidP="0022382A">
      <w:pPr>
        <w:spacing w:after="0" w:line="360" w:lineRule="auto"/>
        <w:ind w:firstLine="680"/>
        <w:jc w:val="both"/>
        <w:rPr>
          <w:rFonts w:ascii="Times New Roman" w:eastAsia="Times New Roman" w:hAnsi="Times New Roman" w:cs="Times New Roman"/>
          <w:sz w:val="24"/>
          <w:szCs w:val="24"/>
          <w:lang w:eastAsia="bg-BG"/>
        </w:rPr>
      </w:pPr>
    </w:p>
    <w:p w:rsidR="00F27428" w:rsidRPr="00F27428" w:rsidRDefault="00F27428" w:rsidP="00F27428">
      <w:pPr>
        <w:pStyle w:val="Heading1"/>
        <w:numPr>
          <w:ilvl w:val="0"/>
          <w:numId w:val="11"/>
        </w:numPr>
        <w:spacing w:before="0" w:after="120" w:line="240" w:lineRule="auto"/>
        <w:rPr>
          <w:rFonts w:eastAsia="Times New Roman"/>
        </w:rPr>
      </w:pPr>
      <w:bookmarkStart w:id="35" w:name="_Toc510702812"/>
      <w:r w:rsidRPr="00F27428">
        <w:rPr>
          <w:rFonts w:eastAsia="Times New Roman"/>
        </w:rPr>
        <w:t>Изводи и препоръки</w:t>
      </w:r>
      <w:bookmarkEnd w:id="35"/>
    </w:p>
    <w:p w:rsidR="00F27428" w:rsidRPr="00F27428" w:rsidRDefault="00F27428" w:rsidP="0022382A">
      <w:pPr>
        <w:spacing w:after="0" w:line="360" w:lineRule="auto"/>
        <w:ind w:firstLine="680"/>
        <w:jc w:val="both"/>
        <w:rPr>
          <w:rFonts w:ascii="Times New Roman" w:eastAsia="Times New Roman" w:hAnsi="Times New Roman" w:cs="Times New Roman"/>
          <w:sz w:val="24"/>
          <w:szCs w:val="24"/>
          <w:lang w:eastAsia="bg-BG"/>
        </w:rPr>
      </w:pPr>
    </w:p>
    <w:p w:rsidR="00CB1A19" w:rsidRPr="00CB1A19" w:rsidRDefault="00CB1A19" w:rsidP="00BE3182">
      <w:pPr>
        <w:pStyle w:val="Default"/>
        <w:spacing w:line="360" w:lineRule="auto"/>
        <w:ind w:firstLine="709"/>
        <w:jc w:val="both"/>
        <w:rPr>
          <w:b/>
          <w:color w:val="auto"/>
          <w:u w:val="single"/>
        </w:rPr>
      </w:pPr>
      <w:r w:rsidRPr="00CB1A19">
        <w:rPr>
          <w:b/>
          <w:color w:val="auto"/>
          <w:u w:val="single"/>
        </w:rPr>
        <w:t>Относно необходимостта от актуализация на ОСР 2014-2020 г.</w:t>
      </w:r>
    </w:p>
    <w:p w:rsidR="00420A18" w:rsidRPr="00346C08" w:rsidRDefault="00420A18" w:rsidP="00BE3182">
      <w:pPr>
        <w:pStyle w:val="Default"/>
        <w:spacing w:line="360" w:lineRule="auto"/>
        <w:ind w:firstLine="709"/>
        <w:jc w:val="both"/>
        <w:rPr>
          <w:color w:val="auto"/>
        </w:rPr>
      </w:pPr>
      <w:r w:rsidRPr="00346C08">
        <w:rPr>
          <w:color w:val="auto"/>
        </w:rPr>
        <w:t>Закон</w:t>
      </w:r>
      <w:r w:rsidR="00BE3182">
        <w:rPr>
          <w:color w:val="auto"/>
        </w:rPr>
        <w:t>ът</w:t>
      </w:r>
      <w:r w:rsidRPr="00346C08">
        <w:rPr>
          <w:color w:val="auto"/>
        </w:rPr>
        <w:t xml:space="preserve"> за регионално развитие (</w:t>
      </w:r>
      <w:r w:rsidR="00BE3182" w:rsidRPr="00BE3182">
        <w:rPr>
          <w:color w:val="auto"/>
        </w:rPr>
        <w:t>доп. ДВ. бр.13 от 7 Февруари 2017г.</w:t>
      </w:r>
      <w:r w:rsidR="00BE3182">
        <w:rPr>
          <w:color w:val="auto"/>
        </w:rPr>
        <w:t>)</w:t>
      </w:r>
      <w:r w:rsidRPr="00346C08">
        <w:rPr>
          <w:color w:val="auto"/>
        </w:rPr>
        <w:t xml:space="preserve"> е основен нормативен акт, регламентиращ регионалното развитие в страната</w:t>
      </w:r>
      <w:r w:rsidR="00BE3182">
        <w:rPr>
          <w:color w:val="auto"/>
        </w:rPr>
        <w:t xml:space="preserve">. Последните промени в закона </w:t>
      </w:r>
      <w:r w:rsidRPr="00346C08">
        <w:rPr>
          <w:color w:val="auto"/>
        </w:rPr>
        <w:t xml:space="preserve">са свързани с разширяване обхвата на структурата на ОСР, като се добавят </w:t>
      </w:r>
      <w:r w:rsidRPr="00346C08">
        <w:rPr>
          <w:b/>
          <w:color w:val="auto"/>
        </w:rPr>
        <w:t>мерки и средствата за реализация на дейности в районите за целенасочена подкрепа</w:t>
      </w:r>
      <w:r w:rsidRPr="00346C08">
        <w:rPr>
          <w:color w:val="auto"/>
        </w:rPr>
        <w:t xml:space="preserve"> и </w:t>
      </w:r>
      <w:r w:rsidRPr="00346C08">
        <w:rPr>
          <w:b/>
          <w:color w:val="auto"/>
        </w:rPr>
        <w:t>насоки и мерки за развитие на териториалното сътрудничество</w:t>
      </w:r>
      <w:r w:rsidRPr="00346C08">
        <w:rPr>
          <w:color w:val="auto"/>
        </w:rPr>
        <w:t xml:space="preserve"> (съгласно чл. 12, ал. 3, т. 5 и 6 от ЗРР). Също така е изменено и понятието за „район за целенасочена подкрепа“, както е посочено в чл. 6 от ЗРР:</w:t>
      </w:r>
    </w:p>
    <w:p w:rsidR="00420A18" w:rsidRPr="00346C08" w:rsidRDefault="00420A18" w:rsidP="00420A18">
      <w:pPr>
        <w:pStyle w:val="Default"/>
        <w:spacing w:line="360" w:lineRule="auto"/>
        <w:ind w:firstLine="709"/>
        <w:jc w:val="both"/>
        <w:rPr>
          <w:i/>
          <w:color w:val="auto"/>
        </w:rPr>
      </w:pPr>
      <w:r w:rsidRPr="00346C08">
        <w:rPr>
          <w:i/>
          <w:color w:val="auto"/>
        </w:rPr>
        <w:t>В териториалния обхват на район за целенасочена подкрепа се включват:</w:t>
      </w:r>
    </w:p>
    <w:p w:rsidR="00420A18" w:rsidRPr="00346C08" w:rsidRDefault="00420A18" w:rsidP="00420A18">
      <w:pPr>
        <w:pStyle w:val="Default"/>
        <w:spacing w:line="360" w:lineRule="auto"/>
        <w:ind w:firstLine="709"/>
        <w:jc w:val="both"/>
        <w:rPr>
          <w:i/>
          <w:color w:val="auto"/>
        </w:rPr>
      </w:pPr>
      <w:r w:rsidRPr="00346C08">
        <w:rPr>
          <w:i/>
          <w:color w:val="auto"/>
        </w:rPr>
        <w:t>1. общините от четвърта и пета категория;</w:t>
      </w:r>
    </w:p>
    <w:p w:rsidR="00420A18" w:rsidRPr="00346C08" w:rsidRDefault="00420A18" w:rsidP="00420A18">
      <w:pPr>
        <w:pStyle w:val="Default"/>
        <w:spacing w:line="360" w:lineRule="auto"/>
        <w:ind w:firstLine="709"/>
        <w:jc w:val="both"/>
        <w:rPr>
          <w:i/>
          <w:color w:val="auto"/>
        </w:rPr>
      </w:pPr>
      <w:r w:rsidRPr="00346C08">
        <w:rPr>
          <w:i/>
          <w:color w:val="auto"/>
        </w:rPr>
        <w:t>2. общините от втора и трета категория при наличието на някоя от следните географски характеристики:</w:t>
      </w:r>
    </w:p>
    <w:p w:rsidR="00420A18" w:rsidRPr="00346C08" w:rsidRDefault="00420A18" w:rsidP="00420A18">
      <w:pPr>
        <w:pStyle w:val="Default"/>
        <w:spacing w:line="360" w:lineRule="auto"/>
        <w:ind w:firstLine="709"/>
        <w:jc w:val="both"/>
        <w:rPr>
          <w:i/>
          <w:color w:val="auto"/>
        </w:rPr>
      </w:pPr>
      <w:r w:rsidRPr="00346C08">
        <w:rPr>
          <w:i/>
          <w:color w:val="auto"/>
        </w:rPr>
        <w:t>а) най-малко 50 на сто от територията на общината е в планински район;</w:t>
      </w:r>
    </w:p>
    <w:p w:rsidR="00420A18" w:rsidRPr="00346C08" w:rsidRDefault="00420A18" w:rsidP="00420A18">
      <w:pPr>
        <w:pStyle w:val="Default"/>
        <w:spacing w:line="360" w:lineRule="auto"/>
        <w:ind w:firstLine="709"/>
        <w:jc w:val="both"/>
        <w:rPr>
          <w:i/>
          <w:color w:val="auto"/>
        </w:rPr>
      </w:pPr>
      <w:r w:rsidRPr="00346C08">
        <w:rPr>
          <w:i/>
          <w:color w:val="auto"/>
        </w:rPr>
        <w:t>б) най-малко 50 на сто от територията на общината е в полупланински район;</w:t>
      </w:r>
    </w:p>
    <w:p w:rsidR="00420A18" w:rsidRPr="00346C08" w:rsidRDefault="00420A18" w:rsidP="00420A18">
      <w:pPr>
        <w:pStyle w:val="Default"/>
        <w:spacing w:line="360" w:lineRule="auto"/>
        <w:ind w:firstLine="709"/>
        <w:jc w:val="both"/>
        <w:rPr>
          <w:i/>
          <w:color w:val="auto"/>
        </w:rPr>
      </w:pPr>
      <w:r w:rsidRPr="00346C08">
        <w:rPr>
          <w:i/>
          <w:color w:val="auto"/>
        </w:rPr>
        <w:t>в) територията на общината е в пограничен район.</w:t>
      </w:r>
    </w:p>
    <w:p w:rsidR="003C4D41" w:rsidRDefault="003C4D41" w:rsidP="005B17DE">
      <w:pPr>
        <w:shd w:val="clear" w:color="auto" w:fill="FFFFFF"/>
        <w:spacing w:after="0" w:line="360" w:lineRule="auto"/>
        <w:ind w:firstLine="680"/>
        <w:jc w:val="both"/>
        <w:rPr>
          <w:rFonts w:ascii="Times New Roman" w:eastAsia="Times New Roman" w:hAnsi="Times New Roman" w:cs="Times New Roman"/>
          <w:sz w:val="24"/>
          <w:szCs w:val="24"/>
          <w:lang w:eastAsia="bg-BG"/>
        </w:rPr>
      </w:pPr>
      <w:r w:rsidRPr="005249F1">
        <w:rPr>
          <w:rFonts w:ascii="Times New Roman" w:eastAsia="Times New Roman" w:hAnsi="Times New Roman" w:cs="Times New Roman"/>
          <w:sz w:val="24"/>
          <w:szCs w:val="24"/>
          <w:lang w:eastAsia="bg-BG"/>
        </w:rPr>
        <w:t xml:space="preserve">В чл. 12, ал. 3 от ЗРР са посочени основните части, които следва да съдържа </w:t>
      </w:r>
      <w:r w:rsidR="005249F1">
        <w:rPr>
          <w:rFonts w:ascii="Times New Roman" w:eastAsia="Times New Roman" w:hAnsi="Times New Roman" w:cs="Times New Roman"/>
          <w:sz w:val="24"/>
          <w:szCs w:val="24"/>
          <w:lang w:eastAsia="bg-BG"/>
        </w:rPr>
        <w:t>една о</w:t>
      </w:r>
      <w:r w:rsidRPr="005249F1">
        <w:rPr>
          <w:rFonts w:ascii="Times New Roman" w:eastAsia="Times New Roman" w:hAnsi="Times New Roman" w:cs="Times New Roman"/>
          <w:sz w:val="24"/>
          <w:szCs w:val="24"/>
          <w:lang w:eastAsia="bg-BG"/>
        </w:rPr>
        <w:t xml:space="preserve">бластната стратегия за развитие. В таблицата по-долу екипът на „Географика“ ООД представя </w:t>
      </w:r>
      <w:r w:rsidR="00507C1B">
        <w:rPr>
          <w:rFonts w:ascii="Times New Roman" w:eastAsia="Times New Roman" w:hAnsi="Times New Roman" w:cs="Times New Roman"/>
          <w:sz w:val="24"/>
          <w:szCs w:val="24"/>
          <w:lang w:eastAsia="bg-BG"/>
        </w:rPr>
        <w:t xml:space="preserve">оценка на съдържанието на ОСР 2014-2020 на област Ловеч и </w:t>
      </w:r>
      <w:r w:rsidR="005249F1">
        <w:rPr>
          <w:rFonts w:ascii="Times New Roman" w:eastAsia="Times New Roman" w:hAnsi="Times New Roman" w:cs="Times New Roman"/>
          <w:sz w:val="24"/>
          <w:szCs w:val="24"/>
          <w:lang w:eastAsia="bg-BG"/>
        </w:rPr>
        <w:t xml:space="preserve">препоръки за подобряване и допълване </w:t>
      </w:r>
      <w:r w:rsidR="00507C1B">
        <w:rPr>
          <w:rFonts w:ascii="Times New Roman" w:eastAsia="Times New Roman" w:hAnsi="Times New Roman" w:cs="Times New Roman"/>
          <w:sz w:val="24"/>
          <w:szCs w:val="24"/>
          <w:lang w:eastAsia="bg-BG"/>
        </w:rPr>
        <w:t xml:space="preserve">на съответни </w:t>
      </w:r>
      <w:r w:rsidR="005249F1">
        <w:rPr>
          <w:rFonts w:ascii="Times New Roman" w:eastAsia="Times New Roman" w:hAnsi="Times New Roman" w:cs="Times New Roman"/>
          <w:sz w:val="24"/>
          <w:szCs w:val="24"/>
          <w:lang w:eastAsia="bg-BG"/>
        </w:rPr>
        <w:t xml:space="preserve">части, съгласно представеното в закона съдържание: </w:t>
      </w:r>
    </w:p>
    <w:p w:rsidR="00E0438F" w:rsidRDefault="00E0438F" w:rsidP="005B17DE">
      <w:pPr>
        <w:shd w:val="clear" w:color="auto" w:fill="FFFFFF"/>
        <w:spacing w:after="0" w:line="360" w:lineRule="auto"/>
        <w:ind w:firstLine="680"/>
        <w:jc w:val="both"/>
        <w:rPr>
          <w:rFonts w:ascii="Times New Roman" w:eastAsia="Times New Roman" w:hAnsi="Times New Roman" w:cs="Times New Roman"/>
          <w:sz w:val="24"/>
          <w:szCs w:val="24"/>
          <w:lang w:eastAsia="bg-BG"/>
        </w:rPr>
      </w:pPr>
    </w:p>
    <w:tbl>
      <w:tblPr>
        <w:tblStyle w:val="TableGrid"/>
        <w:tblW w:w="9506" w:type="dxa"/>
        <w:jc w:val="center"/>
        <w:tblInd w:w="2218" w:type="dxa"/>
        <w:tblLook w:val="04A0" w:firstRow="1" w:lastRow="0" w:firstColumn="1" w:lastColumn="0" w:noHBand="0" w:noVBand="1"/>
      </w:tblPr>
      <w:tblGrid>
        <w:gridCol w:w="559"/>
        <w:gridCol w:w="4110"/>
        <w:gridCol w:w="4837"/>
      </w:tblGrid>
      <w:tr w:rsidR="0004390F" w:rsidRPr="001C5F69" w:rsidTr="00E0438F">
        <w:trPr>
          <w:jc w:val="center"/>
        </w:trPr>
        <w:tc>
          <w:tcPr>
            <w:tcW w:w="559" w:type="dxa"/>
          </w:tcPr>
          <w:p w:rsidR="0004390F" w:rsidRPr="0004390F" w:rsidRDefault="0004390F" w:rsidP="001C5F69">
            <w:pPr>
              <w:spacing w:after="120"/>
              <w:jc w:val="center"/>
              <w:rPr>
                <w:rFonts w:ascii="Times New Roman" w:eastAsia="Times New Roman" w:hAnsi="Times New Roman" w:cs="Times New Roman"/>
                <w:b/>
                <w:sz w:val="24"/>
                <w:szCs w:val="24"/>
                <w:lang w:val="bg-BG" w:eastAsia="bg-BG"/>
              </w:rPr>
            </w:pPr>
            <w:r>
              <w:rPr>
                <w:rFonts w:ascii="Times New Roman" w:eastAsia="Times New Roman" w:hAnsi="Times New Roman" w:cs="Times New Roman"/>
                <w:b/>
                <w:sz w:val="24"/>
                <w:szCs w:val="24"/>
                <w:lang w:val="bg-BG" w:eastAsia="bg-BG"/>
              </w:rPr>
              <w:t>№</w:t>
            </w:r>
          </w:p>
        </w:tc>
        <w:tc>
          <w:tcPr>
            <w:tcW w:w="4110" w:type="dxa"/>
          </w:tcPr>
          <w:p w:rsidR="0004390F" w:rsidRPr="001C5F69" w:rsidRDefault="0004390F" w:rsidP="001C5F69">
            <w:pPr>
              <w:spacing w:after="120"/>
              <w:jc w:val="center"/>
              <w:rPr>
                <w:rFonts w:ascii="Times New Roman" w:eastAsia="Times New Roman" w:hAnsi="Times New Roman" w:cs="Times New Roman"/>
                <w:b/>
                <w:sz w:val="24"/>
                <w:szCs w:val="24"/>
                <w:lang w:val="bg-BG" w:eastAsia="bg-BG"/>
              </w:rPr>
            </w:pPr>
            <w:r w:rsidRPr="001C5F69">
              <w:rPr>
                <w:rFonts w:ascii="Times New Roman" w:eastAsia="Times New Roman" w:hAnsi="Times New Roman" w:cs="Times New Roman"/>
                <w:b/>
                <w:sz w:val="24"/>
                <w:szCs w:val="24"/>
                <w:lang w:val="bg-BG" w:eastAsia="bg-BG"/>
              </w:rPr>
              <w:t>Части на областна стратегия за развитие</w:t>
            </w:r>
            <w:r>
              <w:rPr>
                <w:rFonts w:ascii="Times New Roman" w:eastAsia="Times New Roman" w:hAnsi="Times New Roman" w:cs="Times New Roman"/>
                <w:b/>
                <w:sz w:val="24"/>
                <w:szCs w:val="24"/>
                <w:lang w:val="bg-BG" w:eastAsia="bg-BG"/>
              </w:rPr>
              <w:t>, съгласно ЗРР</w:t>
            </w:r>
          </w:p>
        </w:tc>
        <w:tc>
          <w:tcPr>
            <w:tcW w:w="4837" w:type="dxa"/>
          </w:tcPr>
          <w:p w:rsidR="0004390F" w:rsidRPr="001C5F69" w:rsidRDefault="0004390F" w:rsidP="001C5F69">
            <w:pPr>
              <w:spacing w:after="120"/>
              <w:jc w:val="center"/>
              <w:rPr>
                <w:rFonts w:ascii="Times New Roman" w:eastAsia="Times New Roman" w:hAnsi="Times New Roman" w:cs="Times New Roman"/>
                <w:b/>
                <w:sz w:val="24"/>
                <w:szCs w:val="24"/>
                <w:lang w:val="bg-BG" w:eastAsia="bg-BG"/>
              </w:rPr>
            </w:pPr>
            <w:r w:rsidRPr="001C5F69">
              <w:rPr>
                <w:rFonts w:ascii="Times New Roman" w:eastAsia="Times New Roman" w:hAnsi="Times New Roman" w:cs="Times New Roman"/>
                <w:b/>
                <w:sz w:val="24"/>
                <w:szCs w:val="24"/>
                <w:lang w:val="bg-BG" w:eastAsia="bg-BG"/>
              </w:rPr>
              <w:t>Препоръки към</w:t>
            </w:r>
            <w:r>
              <w:rPr>
                <w:rFonts w:ascii="Times New Roman" w:eastAsia="Times New Roman" w:hAnsi="Times New Roman" w:cs="Times New Roman"/>
                <w:b/>
                <w:sz w:val="24"/>
                <w:szCs w:val="24"/>
                <w:lang w:val="bg-BG" w:eastAsia="bg-BG"/>
              </w:rPr>
              <w:t xml:space="preserve"> съдържанието на</w:t>
            </w:r>
            <w:r w:rsidRPr="001C5F69">
              <w:rPr>
                <w:rFonts w:ascii="Times New Roman" w:eastAsia="Times New Roman" w:hAnsi="Times New Roman" w:cs="Times New Roman"/>
                <w:b/>
                <w:sz w:val="24"/>
                <w:szCs w:val="24"/>
                <w:lang w:val="bg-BG" w:eastAsia="bg-BG"/>
              </w:rPr>
              <w:t xml:space="preserve"> ОСР 2014-2020 г. на област Ловеч</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w:t>
            </w:r>
          </w:p>
        </w:tc>
        <w:tc>
          <w:tcPr>
            <w:tcW w:w="4110" w:type="dxa"/>
          </w:tcPr>
          <w:p w:rsidR="0004390F" w:rsidRPr="001C5F69" w:rsidRDefault="0004390F"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А</w:t>
            </w:r>
            <w:r w:rsidRPr="001C5F69">
              <w:rPr>
                <w:rFonts w:ascii="Times New Roman" w:eastAsia="Times New Roman" w:hAnsi="Times New Roman" w:cs="Times New Roman"/>
                <w:sz w:val="24"/>
                <w:szCs w:val="24"/>
                <w:lang w:val="bg-BG" w:eastAsia="bg-BG"/>
              </w:rPr>
              <w:t>нализ на икономическото и социалното състояние на областта</w:t>
            </w:r>
          </w:p>
        </w:tc>
        <w:tc>
          <w:tcPr>
            <w:tcW w:w="4837" w:type="dxa"/>
          </w:tcPr>
          <w:p w:rsidR="0004390F" w:rsidRPr="001C5F69" w:rsidRDefault="0004390F"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Анализът е подробен, обезпечен с данни, позволява изготвяне на адекватна стратегическа част</w:t>
            </w:r>
            <w:r w:rsidR="00B14680">
              <w:rPr>
                <w:rFonts w:ascii="Times New Roman" w:eastAsia="Times New Roman" w:hAnsi="Times New Roman" w:cs="Times New Roman"/>
                <w:sz w:val="24"/>
                <w:szCs w:val="24"/>
                <w:lang w:val="bg-BG" w:eastAsia="bg-BG"/>
              </w:rPr>
              <w:t xml:space="preserve"> за развитие</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2.</w:t>
            </w:r>
          </w:p>
        </w:tc>
        <w:tc>
          <w:tcPr>
            <w:tcW w:w="4110" w:type="dxa"/>
          </w:tcPr>
          <w:p w:rsidR="0004390F" w:rsidRPr="001C5F69" w:rsidRDefault="0004390F"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Ц</w:t>
            </w:r>
            <w:r w:rsidRPr="001C5F69">
              <w:rPr>
                <w:rFonts w:ascii="Times New Roman" w:eastAsia="Times New Roman" w:hAnsi="Times New Roman" w:cs="Times New Roman"/>
                <w:sz w:val="24"/>
                <w:szCs w:val="24"/>
                <w:lang w:val="bg-BG" w:eastAsia="bg-BG"/>
              </w:rPr>
              <w:t>елите и приоритетите за развитие на областта за определен период</w:t>
            </w:r>
          </w:p>
        </w:tc>
        <w:tc>
          <w:tcPr>
            <w:tcW w:w="4837" w:type="dxa"/>
          </w:tcPr>
          <w:p w:rsidR="0004390F" w:rsidRPr="001C5F69" w:rsidRDefault="0004390F" w:rsidP="00B14680">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Цели, приоритети и мерки за развитие са заложени, които отговарят на нуждите от развитие на област Ловеч</w:t>
            </w:r>
            <w:r w:rsidR="00B14680">
              <w:rPr>
                <w:rFonts w:ascii="Times New Roman" w:eastAsia="Times New Roman" w:hAnsi="Times New Roman" w:cs="Times New Roman"/>
                <w:sz w:val="24"/>
                <w:szCs w:val="24"/>
                <w:lang w:val="bg-BG" w:eastAsia="bg-BG"/>
              </w:rPr>
              <w:t xml:space="preserve"> и съставните общини</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3.</w:t>
            </w:r>
          </w:p>
        </w:tc>
        <w:tc>
          <w:tcPr>
            <w:tcW w:w="4110" w:type="dxa"/>
          </w:tcPr>
          <w:p w:rsidR="0004390F" w:rsidRPr="001C5F69" w:rsidRDefault="0004390F"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О</w:t>
            </w:r>
            <w:r w:rsidRPr="001C5F69">
              <w:rPr>
                <w:rFonts w:ascii="Times New Roman" w:eastAsia="Times New Roman" w:hAnsi="Times New Roman" w:cs="Times New Roman"/>
                <w:sz w:val="24"/>
                <w:szCs w:val="24"/>
                <w:lang w:val="bg-BG" w:eastAsia="bg-BG"/>
              </w:rPr>
              <w:t>бща оценка на необходимите ресурси за постигане целите на стратегията</w:t>
            </w:r>
          </w:p>
        </w:tc>
        <w:tc>
          <w:tcPr>
            <w:tcW w:w="4837" w:type="dxa"/>
          </w:tcPr>
          <w:p w:rsidR="00867D14" w:rsidRDefault="00867D14"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П</w:t>
            </w:r>
            <w:r w:rsidR="0004390F" w:rsidRPr="001C5F69">
              <w:rPr>
                <w:rFonts w:ascii="Times New Roman" w:eastAsia="Times New Roman" w:hAnsi="Times New Roman" w:cs="Times New Roman"/>
                <w:sz w:val="24"/>
                <w:szCs w:val="24"/>
                <w:lang w:val="bg-BG" w:eastAsia="bg-BG"/>
              </w:rPr>
              <w:t>ри всяка мярка за развитие са посочени източници за финансова подкрепа</w:t>
            </w:r>
          </w:p>
          <w:p w:rsidR="0004390F" w:rsidRPr="004D52A3" w:rsidRDefault="00867D14" w:rsidP="00867D14">
            <w:pPr>
              <w:spacing w:after="120"/>
              <w:rPr>
                <w:rFonts w:ascii="Times New Roman" w:eastAsia="Times New Roman" w:hAnsi="Times New Roman" w:cs="Times New Roman"/>
                <w:b/>
                <w:sz w:val="24"/>
                <w:szCs w:val="24"/>
                <w:lang w:val="bg-BG" w:eastAsia="bg-BG"/>
              </w:rPr>
            </w:pPr>
            <w:r w:rsidRPr="004D52A3">
              <w:rPr>
                <w:rFonts w:ascii="Times New Roman" w:eastAsia="Times New Roman" w:hAnsi="Times New Roman" w:cs="Times New Roman"/>
                <w:b/>
                <w:sz w:val="24"/>
                <w:szCs w:val="24"/>
                <w:lang w:val="bg-BG" w:eastAsia="bg-BG"/>
              </w:rPr>
              <w:t xml:space="preserve">Следва да се допълни точката с обща оценка на необходимите ресурси за постигане на целите </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4.</w:t>
            </w:r>
          </w:p>
        </w:tc>
        <w:tc>
          <w:tcPr>
            <w:tcW w:w="4110" w:type="dxa"/>
          </w:tcPr>
          <w:p w:rsidR="0004390F" w:rsidRPr="001C5F69" w:rsidRDefault="007A5DD3" w:rsidP="007A5DD3">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Т</w:t>
            </w:r>
            <w:r w:rsidR="0004390F" w:rsidRPr="001C5F69">
              <w:rPr>
                <w:rFonts w:ascii="Times New Roman" w:eastAsia="Times New Roman" w:hAnsi="Times New Roman" w:cs="Times New Roman"/>
                <w:sz w:val="24"/>
                <w:szCs w:val="24"/>
                <w:lang w:val="bg-BG" w:eastAsia="bg-BG"/>
              </w:rPr>
              <w:t>ериториал</w:t>
            </w:r>
            <w:r>
              <w:rPr>
                <w:rFonts w:ascii="Times New Roman" w:eastAsia="Times New Roman" w:hAnsi="Times New Roman" w:cs="Times New Roman"/>
                <w:sz w:val="24"/>
                <w:szCs w:val="24"/>
                <w:lang w:val="bg-BG" w:eastAsia="bg-BG"/>
              </w:rPr>
              <w:t>е</w:t>
            </w:r>
            <w:r w:rsidR="0004390F" w:rsidRPr="001C5F69">
              <w:rPr>
                <w:rFonts w:ascii="Times New Roman" w:eastAsia="Times New Roman" w:hAnsi="Times New Roman" w:cs="Times New Roman"/>
                <w:sz w:val="24"/>
                <w:szCs w:val="24"/>
                <w:lang w:val="bg-BG" w:eastAsia="bg-BG"/>
              </w:rPr>
              <w:t>н обхват на районите за целенасочена подкрепа</w:t>
            </w:r>
          </w:p>
        </w:tc>
        <w:tc>
          <w:tcPr>
            <w:tcW w:w="4837" w:type="dxa"/>
          </w:tcPr>
          <w:p w:rsidR="0004390F" w:rsidRDefault="007A5DD3" w:rsidP="007A5DD3">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П</w:t>
            </w:r>
            <w:r w:rsidR="0004390F" w:rsidRPr="001C5F69">
              <w:rPr>
                <w:rFonts w:ascii="Times New Roman" w:eastAsia="Times New Roman" w:hAnsi="Times New Roman" w:cs="Times New Roman"/>
                <w:sz w:val="24"/>
                <w:szCs w:val="24"/>
                <w:lang w:val="bg-BG" w:eastAsia="bg-BG"/>
              </w:rPr>
              <w:t>осочени са общините</w:t>
            </w:r>
            <w:r>
              <w:rPr>
                <w:rFonts w:ascii="Times New Roman" w:eastAsia="Times New Roman" w:hAnsi="Times New Roman" w:cs="Times New Roman"/>
                <w:sz w:val="24"/>
                <w:szCs w:val="24"/>
                <w:lang w:val="bg-BG" w:eastAsia="bg-BG"/>
              </w:rPr>
              <w:t xml:space="preserve"> от областта</w:t>
            </w:r>
            <w:r w:rsidR="0004390F" w:rsidRPr="001C5F69">
              <w:rPr>
                <w:rFonts w:ascii="Times New Roman" w:eastAsia="Times New Roman" w:hAnsi="Times New Roman" w:cs="Times New Roman"/>
                <w:sz w:val="24"/>
                <w:szCs w:val="24"/>
                <w:lang w:val="bg-BG" w:eastAsia="bg-BG"/>
              </w:rPr>
              <w:t>, част</w:t>
            </w:r>
            <w:r w:rsidR="00867D14">
              <w:rPr>
                <w:rFonts w:ascii="Times New Roman" w:eastAsia="Times New Roman" w:hAnsi="Times New Roman" w:cs="Times New Roman"/>
                <w:sz w:val="24"/>
                <w:szCs w:val="24"/>
                <w:lang w:val="bg-BG" w:eastAsia="bg-BG"/>
              </w:rPr>
              <w:t>и</w:t>
            </w:r>
            <w:r w:rsidR="0004390F" w:rsidRPr="001C5F69">
              <w:rPr>
                <w:rFonts w:ascii="Times New Roman" w:eastAsia="Times New Roman" w:hAnsi="Times New Roman" w:cs="Times New Roman"/>
                <w:sz w:val="24"/>
                <w:szCs w:val="24"/>
                <w:lang w:val="bg-BG" w:eastAsia="bg-BG"/>
              </w:rPr>
              <w:t xml:space="preserve"> от които се определят като район</w:t>
            </w:r>
            <w:r>
              <w:rPr>
                <w:rFonts w:ascii="Times New Roman" w:eastAsia="Times New Roman" w:hAnsi="Times New Roman" w:cs="Times New Roman"/>
                <w:sz w:val="24"/>
                <w:szCs w:val="24"/>
                <w:lang w:val="bg-BG" w:eastAsia="bg-BG"/>
              </w:rPr>
              <w:t>и</w:t>
            </w:r>
            <w:r w:rsidR="0004390F" w:rsidRPr="001C5F69">
              <w:rPr>
                <w:rFonts w:ascii="Times New Roman" w:eastAsia="Times New Roman" w:hAnsi="Times New Roman" w:cs="Times New Roman"/>
                <w:sz w:val="24"/>
                <w:szCs w:val="24"/>
                <w:lang w:val="bg-BG" w:eastAsia="bg-BG"/>
              </w:rPr>
              <w:t xml:space="preserve"> за целенасочена подкрепа</w:t>
            </w:r>
          </w:p>
          <w:p w:rsidR="00867D14" w:rsidRPr="004D52A3" w:rsidRDefault="00867D14" w:rsidP="00867D14">
            <w:pPr>
              <w:spacing w:after="120"/>
              <w:rPr>
                <w:rFonts w:ascii="Times New Roman" w:eastAsia="Times New Roman" w:hAnsi="Times New Roman" w:cs="Times New Roman"/>
                <w:b/>
                <w:sz w:val="24"/>
                <w:szCs w:val="24"/>
                <w:lang w:val="bg-BG" w:eastAsia="bg-BG"/>
              </w:rPr>
            </w:pPr>
            <w:r w:rsidRPr="004D52A3">
              <w:rPr>
                <w:rFonts w:ascii="Times New Roman" w:eastAsia="Times New Roman" w:hAnsi="Times New Roman" w:cs="Times New Roman"/>
                <w:b/>
                <w:sz w:val="24"/>
                <w:szCs w:val="24"/>
                <w:lang w:val="bg-BG" w:eastAsia="bg-BG"/>
              </w:rPr>
              <w:t>Следва да се открои по-точно териториалният обхват на районите за целенасочена подкрепа</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5.</w:t>
            </w:r>
          </w:p>
        </w:tc>
        <w:tc>
          <w:tcPr>
            <w:tcW w:w="4110" w:type="dxa"/>
          </w:tcPr>
          <w:p w:rsidR="0004390F" w:rsidRPr="001C5F69" w:rsidRDefault="00042D05" w:rsidP="00042D05">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М</w:t>
            </w:r>
            <w:r w:rsidR="0004390F" w:rsidRPr="001C5F69">
              <w:rPr>
                <w:rFonts w:ascii="Times New Roman" w:eastAsia="Times New Roman" w:hAnsi="Times New Roman" w:cs="Times New Roman"/>
                <w:sz w:val="24"/>
                <w:szCs w:val="24"/>
                <w:lang w:val="bg-BG" w:eastAsia="bg-BG"/>
              </w:rPr>
              <w:t>ерки и средства за реализация на дейности в районите за целенасочена подкрепа</w:t>
            </w:r>
          </w:p>
        </w:tc>
        <w:tc>
          <w:tcPr>
            <w:tcW w:w="4837" w:type="dxa"/>
          </w:tcPr>
          <w:p w:rsidR="00867D14" w:rsidRDefault="00042D05" w:rsidP="00867D14">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П</w:t>
            </w:r>
            <w:r w:rsidR="0004390F" w:rsidRPr="001C5F69">
              <w:rPr>
                <w:rFonts w:ascii="Times New Roman" w:eastAsia="Times New Roman" w:hAnsi="Times New Roman" w:cs="Times New Roman"/>
                <w:sz w:val="24"/>
                <w:szCs w:val="24"/>
                <w:lang w:val="bg-BG" w:eastAsia="bg-BG"/>
              </w:rPr>
              <w:t>осочени са мерки и насоки за подобряване на икономическото развитие и създаване на условия за устойчиво развитие</w:t>
            </w:r>
            <w:r w:rsidR="00867D14">
              <w:rPr>
                <w:rFonts w:ascii="Times New Roman" w:eastAsia="Times New Roman" w:hAnsi="Times New Roman" w:cs="Times New Roman"/>
                <w:sz w:val="24"/>
                <w:szCs w:val="24"/>
                <w:lang w:val="bg-BG" w:eastAsia="bg-BG"/>
              </w:rPr>
              <w:t xml:space="preserve"> на общините</w:t>
            </w:r>
          </w:p>
          <w:p w:rsidR="0004390F" w:rsidRPr="004D52A3" w:rsidRDefault="00867D14" w:rsidP="00867D14">
            <w:pPr>
              <w:spacing w:after="120"/>
              <w:rPr>
                <w:rFonts w:ascii="Times New Roman" w:eastAsia="Times New Roman" w:hAnsi="Times New Roman" w:cs="Times New Roman"/>
                <w:b/>
                <w:sz w:val="24"/>
                <w:szCs w:val="24"/>
                <w:lang w:val="bg-BG" w:eastAsia="bg-BG"/>
              </w:rPr>
            </w:pPr>
            <w:r w:rsidRPr="004D52A3">
              <w:rPr>
                <w:rFonts w:ascii="Times New Roman" w:eastAsia="Times New Roman" w:hAnsi="Times New Roman" w:cs="Times New Roman"/>
                <w:b/>
                <w:sz w:val="24"/>
                <w:szCs w:val="24"/>
                <w:lang w:val="bg-BG" w:eastAsia="bg-BG"/>
              </w:rPr>
              <w:t xml:space="preserve">Следва да се </w:t>
            </w:r>
            <w:r w:rsidR="00042D05" w:rsidRPr="004D52A3">
              <w:rPr>
                <w:rFonts w:ascii="Times New Roman" w:eastAsia="Times New Roman" w:hAnsi="Times New Roman" w:cs="Times New Roman"/>
                <w:b/>
                <w:sz w:val="24"/>
                <w:szCs w:val="24"/>
                <w:lang w:val="bg-BG" w:eastAsia="bg-BG"/>
              </w:rPr>
              <w:t>посоч</w:t>
            </w:r>
            <w:r w:rsidRPr="004D52A3">
              <w:rPr>
                <w:rFonts w:ascii="Times New Roman" w:eastAsia="Times New Roman" w:hAnsi="Times New Roman" w:cs="Times New Roman"/>
                <w:b/>
                <w:sz w:val="24"/>
                <w:szCs w:val="24"/>
                <w:lang w:val="bg-BG" w:eastAsia="bg-BG"/>
              </w:rPr>
              <w:t>ат</w:t>
            </w:r>
            <w:r w:rsidR="00042D05" w:rsidRPr="004D52A3">
              <w:rPr>
                <w:rFonts w:ascii="Times New Roman" w:eastAsia="Times New Roman" w:hAnsi="Times New Roman" w:cs="Times New Roman"/>
                <w:b/>
                <w:sz w:val="24"/>
                <w:szCs w:val="24"/>
                <w:lang w:val="bg-BG" w:eastAsia="bg-BG"/>
              </w:rPr>
              <w:t xml:space="preserve"> </w:t>
            </w:r>
            <w:r w:rsidR="0004390F" w:rsidRPr="004D52A3">
              <w:rPr>
                <w:rFonts w:ascii="Times New Roman" w:eastAsia="Times New Roman" w:hAnsi="Times New Roman" w:cs="Times New Roman"/>
                <w:b/>
                <w:sz w:val="24"/>
                <w:szCs w:val="24"/>
                <w:lang w:val="bg-BG" w:eastAsia="bg-BG"/>
              </w:rPr>
              <w:t>средства</w:t>
            </w:r>
            <w:r w:rsidR="00042D05" w:rsidRPr="004D52A3">
              <w:rPr>
                <w:rFonts w:ascii="Times New Roman" w:eastAsia="Times New Roman" w:hAnsi="Times New Roman" w:cs="Times New Roman"/>
                <w:b/>
                <w:sz w:val="24"/>
                <w:szCs w:val="24"/>
                <w:lang w:val="bg-BG" w:eastAsia="bg-BG"/>
              </w:rPr>
              <w:t xml:space="preserve"> за реализация на дейностите</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6.</w:t>
            </w:r>
          </w:p>
        </w:tc>
        <w:tc>
          <w:tcPr>
            <w:tcW w:w="4110" w:type="dxa"/>
          </w:tcPr>
          <w:p w:rsidR="0004390F" w:rsidRPr="001C5F69" w:rsidRDefault="00E329D3"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Н</w:t>
            </w:r>
            <w:r w:rsidR="0004390F" w:rsidRPr="001C5F69">
              <w:rPr>
                <w:rFonts w:ascii="Times New Roman" w:eastAsia="Times New Roman" w:hAnsi="Times New Roman" w:cs="Times New Roman"/>
                <w:sz w:val="24"/>
                <w:szCs w:val="24"/>
                <w:lang w:val="bg-BG" w:eastAsia="bg-BG"/>
              </w:rPr>
              <w:t>асоки и мерки за развитие на териториалното сътрудничество</w:t>
            </w:r>
          </w:p>
        </w:tc>
        <w:tc>
          <w:tcPr>
            <w:tcW w:w="4837" w:type="dxa"/>
          </w:tcPr>
          <w:p w:rsidR="0004390F" w:rsidRPr="004D52A3" w:rsidRDefault="00E329D3" w:rsidP="004D52A3">
            <w:pPr>
              <w:spacing w:after="120"/>
              <w:rPr>
                <w:rFonts w:ascii="Times New Roman" w:eastAsia="Times New Roman" w:hAnsi="Times New Roman" w:cs="Times New Roman"/>
                <w:b/>
                <w:sz w:val="24"/>
                <w:szCs w:val="24"/>
                <w:lang w:val="bg-BG" w:eastAsia="bg-BG"/>
              </w:rPr>
            </w:pPr>
            <w:r w:rsidRPr="004D52A3">
              <w:rPr>
                <w:rFonts w:ascii="Times New Roman" w:eastAsia="Times New Roman" w:hAnsi="Times New Roman" w:cs="Times New Roman"/>
                <w:b/>
                <w:sz w:val="24"/>
                <w:szCs w:val="24"/>
                <w:lang w:val="bg-BG" w:eastAsia="bg-BG"/>
              </w:rPr>
              <w:t>Мерки за развитие на териториалното сътрудничество следва да се заложат в стратегическата рамка за развитие на област Ловеч</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7.</w:t>
            </w:r>
          </w:p>
        </w:tc>
        <w:tc>
          <w:tcPr>
            <w:tcW w:w="4110" w:type="dxa"/>
          </w:tcPr>
          <w:p w:rsidR="0004390F" w:rsidRPr="001C5F69" w:rsidRDefault="00907C9F"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К</w:t>
            </w:r>
            <w:r w:rsidR="0004390F" w:rsidRPr="001C5F69">
              <w:rPr>
                <w:rFonts w:ascii="Times New Roman" w:eastAsia="Times New Roman" w:hAnsi="Times New Roman" w:cs="Times New Roman"/>
                <w:sz w:val="24"/>
                <w:szCs w:val="24"/>
                <w:lang w:val="bg-BG" w:eastAsia="bg-BG"/>
              </w:rPr>
              <w:t>ритериите за оценка на изпълнението на стратегията</w:t>
            </w:r>
          </w:p>
        </w:tc>
        <w:tc>
          <w:tcPr>
            <w:tcW w:w="4837" w:type="dxa"/>
          </w:tcPr>
          <w:p w:rsidR="0004390F" w:rsidRDefault="00907C9F" w:rsidP="00907C9F">
            <w:pPr>
              <w:spacing w:after="120"/>
              <w:rPr>
                <w:rFonts w:ascii="Times New Roman" w:eastAsia="Times New Roman" w:hAnsi="Times New Roman" w:cs="Times New Roman"/>
                <w:sz w:val="24"/>
                <w:szCs w:val="24"/>
                <w:lang w:val="bg-BG" w:eastAsia="bg-BG"/>
              </w:rPr>
            </w:pPr>
            <w:r w:rsidRPr="00907C9F">
              <w:rPr>
                <w:rFonts w:ascii="Times New Roman" w:eastAsia="Times New Roman" w:hAnsi="Times New Roman" w:cs="Times New Roman"/>
                <w:sz w:val="24"/>
                <w:szCs w:val="24"/>
                <w:lang w:val="bg-BG" w:eastAsia="bg-BG"/>
              </w:rPr>
              <w:t>Критерии и индикатори за оценка на резултатите от изпълнението на стратегията</w:t>
            </w:r>
            <w:r>
              <w:rPr>
                <w:rFonts w:ascii="Times New Roman" w:eastAsia="Times New Roman" w:hAnsi="Times New Roman" w:cs="Times New Roman"/>
                <w:sz w:val="24"/>
                <w:szCs w:val="24"/>
                <w:lang w:val="bg-BG" w:eastAsia="bg-BG"/>
              </w:rPr>
              <w:t xml:space="preserve"> са посочени</w:t>
            </w:r>
          </w:p>
          <w:p w:rsidR="00614170" w:rsidRPr="004D52A3" w:rsidRDefault="00614170" w:rsidP="00907C9F">
            <w:pPr>
              <w:spacing w:after="120"/>
              <w:rPr>
                <w:rFonts w:ascii="Times New Roman" w:eastAsia="Times New Roman" w:hAnsi="Times New Roman" w:cs="Times New Roman"/>
                <w:b/>
                <w:sz w:val="24"/>
                <w:szCs w:val="24"/>
                <w:lang w:val="bg-BG" w:eastAsia="bg-BG"/>
              </w:rPr>
            </w:pPr>
            <w:r w:rsidRPr="004D52A3">
              <w:rPr>
                <w:rFonts w:ascii="Times New Roman" w:eastAsia="Times New Roman" w:hAnsi="Times New Roman" w:cs="Times New Roman"/>
                <w:b/>
                <w:sz w:val="24"/>
                <w:szCs w:val="24"/>
                <w:lang w:val="bg-BG" w:eastAsia="bg-BG"/>
              </w:rPr>
              <w:t>Препоръчително е да се заложат целеви стойности на индикаторите към 2020 г.</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8.</w:t>
            </w:r>
          </w:p>
        </w:tc>
        <w:tc>
          <w:tcPr>
            <w:tcW w:w="4110" w:type="dxa"/>
          </w:tcPr>
          <w:p w:rsidR="0004390F" w:rsidRPr="001C5F69" w:rsidRDefault="00D12580"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С</w:t>
            </w:r>
            <w:r w:rsidR="0004390F" w:rsidRPr="001C5F69">
              <w:rPr>
                <w:rFonts w:ascii="Times New Roman" w:eastAsia="Times New Roman" w:hAnsi="Times New Roman" w:cs="Times New Roman"/>
                <w:sz w:val="24"/>
                <w:szCs w:val="24"/>
                <w:lang w:val="bg-BG" w:eastAsia="bg-BG"/>
              </w:rPr>
              <w:t>тратегически насоки за разработване на целите и приоритетите на общинските планове за развитие</w:t>
            </w:r>
          </w:p>
        </w:tc>
        <w:tc>
          <w:tcPr>
            <w:tcW w:w="4837" w:type="dxa"/>
          </w:tcPr>
          <w:p w:rsidR="0004390F" w:rsidRPr="001C5F69" w:rsidRDefault="00D12580" w:rsidP="00E0438F">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Представени са </w:t>
            </w:r>
          </w:p>
        </w:tc>
      </w:tr>
      <w:tr w:rsidR="0004390F" w:rsidRPr="001C5F69" w:rsidTr="00E0438F">
        <w:trPr>
          <w:jc w:val="center"/>
        </w:trPr>
        <w:tc>
          <w:tcPr>
            <w:tcW w:w="559" w:type="dxa"/>
          </w:tcPr>
          <w:p w:rsidR="0004390F" w:rsidRPr="0004390F" w:rsidRDefault="0004390F" w:rsidP="001C5F69">
            <w:pPr>
              <w:spacing w:after="1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9.</w:t>
            </w:r>
          </w:p>
        </w:tc>
        <w:tc>
          <w:tcPr>
            <w:tcW w:w="4110" w:type="dxa"/>
          </w:tcPr>
          <w:p w:rsidR="0004390F" w:rsidRPr="001C5F69" w:rsidRDefault="00D12580" w:rsidP="00AD6AC8">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О</w:t>
            </w:r>
            <w:r w:rsidR="0004390F" w:rsidRPr="001C5F69">
              <w:rPr>
                <w:rFonts w:ascii="Times New Roman" w:eastAsia="Times New Roman" w:hAnsi="Times New Roman" w:cs="Times New Roman"/>
                <w:sz w:val="24"/>
                <w:szCs w:val="24"/>
                <w:lang w:val="bg-BG" w:eastAsia="bg-BG"/>
              </w:rPr>
              <w:t>писание на необходимите действия за прилагане принципа на партньорство и осигуряване на информация и публичност</w:t>
            </w:r>
          </w:p>
        </w:tc>
        <w:tc>
          <w:tcPr>
            <w:tcW w:w="4837" w:type="dxa"/>
          </w:tcPr>
          <w:p w:rsidR="0004390F" w:rsidRPr="001C5F69" w:rsidRDefault="00D12580" w:rsidP="00E0438F">
            <w:pPr>
              <w:spacing w:after="120"/>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Представени са </w:t>
            </w:r>
          </w:p>
        </w:tc>
      </w:tr>
    </w:tbl>
    <w:p w:rsidR="00996A5B" w:rsidRPr="005249F1" w:rsidRDefault="00996A5B" w:rsidP="005A0203">
      <w:pPr>
        <w:shd w:val="clear" w:color="auto" w:fill="FFFFFF"/>
        <w:spacing w:after="0" w:line="360" w:lineRule="auto"/>
        <w:jc w:val="both"/>
        <w:rPr>
          <w:rFonts w:ascii="Times New Roman" w:eastAsia="Times New Roman" w:hAnsi="Times New Roman" w:cs="Times New Roman"/>
          <w:sz w:val="24"/>
          <w:szCs w:val="24"/>
          <w:lang w:eastAsia="bg-BG"/>
        </w:rPr>
      </w:pPr>
    </w:p>
    <w:p w:rsidR="003C4D41" w:rsidRPr="002263D8" w:rsidRDefault="002263D8" w:rsidP="005A0203">
      <w:pPr>
        <w:pStyle w:val="Default"/>
        <w:spacing w:line="360" w:lineRule="auto"/>
        <w:ind w:firstLine="680"/>
        <w:jc w:val="both"/>
        <w:rPr>
          <w:rFonts w:eastAsia="Times New Roman"/>
          <w:color w:val="auto"/>
          <w:lang w:eastAsia="bg-BG"/>
        </w:rPr>
      </w:pPr>
      <w:r>
        <w:rPr>
          <w:rFonts w:eastAsia="Times New Roman"/>
          <w:lang w:eastAsia="bg-BG"/>
        </w:rPr>
        <w:t>Съгласно ч</w:t>
      </w:r>
      <w:r w:rsidR="003C4D41" w:rsidRPr="002263D8">
        <w:rPr>
          <w:rFonts w:eastAsia="Times New Roman"/>
          <w:color w:val="auto"/>
          <w:lang w:eastAsia="bg-BG"/>
        </w:rPr>
        <w:t xml:space="preserve">л. 31. (1) </w:t>
      </w:r>
      <w:r w:rsidR="00232601">
        <w:rPr>
          <w:rFonts w:eastAsia="Times New Roman"/>
          <w:lang w:eastAsia="bg-BG"/>
        </w:rPr>
        <w:t xml:space="preserve">от </w:t>
      </w:r>
      <w:r w:rsidR="00232601">
        <w:t xml:space="preserve">ППЗРР </w:t>
      </w:r>
      <w:r w:rsidR="003C4D41" w:rsidRPr="002263D8">
        <w:rPr>
          <w:rFonts w:eastAsia="Times New Roman"/>
          <w:color w:val="auto"/>
          <w:lang w:eastAsia="bg-BG"/>
        </w:rPr>
        <w:t>Областната стратегия за развитие се актуализира:</w:t>
      </w:r>
      <w:r w:rsidR="00232601">
        <w:rPr>
          <w:rFonts w:eastAsia="Times New Roman"/>
          <w:color w:val="auto"/>
          <w:lang w:eastAsia="bg-BG"/>
        </w:rPr>
        <w:t xml:space="preserve"> </w:t>
      </w:r>
    </w:p>
    <w:p w:rsidR="003C4D41" w:rsidRPr="00A519A8" w:rsidRDefault="003C4D41" w:rsidP="005A0203">
      <w:pPr>
        <w:shd w:val="clear" w:color="auto" w:fill="FFFFFF"/>
        <w:spacing w:after="0" w:line="360" w:lineRule="auto"/>
        <w:ind w:firstLine="680"/>
        <w:jc w:val="both"/>
        <w:rPr>
          <w:rFonts w:ascii="Times New Roman" w:eastAsia="Times New Roman" w:hAnsi="Times New Roman" w:cs="Times New Roman"/>
          <w:i/>
          <w:sz w:val="24"/>
          <w:szCs w:val="24"/>
          <w:lang w:eastAsia="bg-BG"/>
        </w:rPr>
      </w:pPr>
      <w:r w:rsidRPr="00A519A8">
        <w:rPr>
          <w:rFonts w:ascii="Times New Roman" w:eastAsia="Times New Roman" w:hAnsi="Times New Roman" w:cs="Times New Roman"/>
          <w:i/>
          <w:sz w:val="24"/>
          <w:szCs w:val="24"/>
          <w:lang w:eastAsia="bg-BG"/>
        </w:rPr>
        <w:t>1. при съществени промени на икономическите и социалните условия в областта;</w:t>
      </w:r>
    </w:p>
    <w:p w:rsidR="003C4D41" w:rsidRPr="00A519A8" w:rsidRDefault="003C4D41" w:rsidP="005A0203">
      <w:pPr>
        <w:shd w:val="clear" w:color="auto" w:fill="FFFFFF"/>
        <w:spacing w:after="0" w:line="360" w:lineRule="auto"/>
        <w:ind w:firstLine="680"/>
        <w:jc w:val="both"/>
        <w:rPr>
          <w:rFonts w:ascii="Times New Roman" w:eastAsia="Times New Roman" w:hAnsi="Times New Roman" w:cs="Times New Roman"/>
          <w:i/>
          <w:sz w:val="24"/>
          <w:szCs w:val="24"/>
          <w:lang w:eastAsia="bg-BG"/>
        </w:rPr>
      </w:pPr>
      <w:r w:rsidRPr="00A519A8">
        <w:rPr>
          <w:rFonts w:ascii="Times New Roman" w:eastAsia="Times New Roman" w:hAnsi="Times New Roman" w:cs="Times New Roman"/>
          <w:i/>
          <w:sz w:val="24"/>
          <w:szCs w:val="24"/>
          <w:lang w:eastAsia="bg-BG"/>
        </w:rPr>
        <w:t>2. в съответствие с актуализирания документ за изпълнение на регионалния план за развитие;</w:t>
      </w:r>
    </w:p>
    <w:p w:rsidR="003C4D41" w:rsidRPr="00A519A8" w:rsidRDefault="003C4D41" w:rsidP="005A0203">
      <w:pPr>
        <w:shd w:val="clear" w:color="auto" w:fill="FFFFFF"/>
        <w:spacing w:after="0" w:line="360" w:lineRule="auto"/>
        <w:ind w:firstLine="680"/>
        <w:jc w:val="both"/>
        <w:rPr>
          <w:rFonts w:ascii="Times New Roman" w:eastAsia="Times New Roman" w:hAnsi="Times New Roman" w:cs="Times New Roman"/>
          <w:b/>
          <w:i/>
          <w:sz w:val="24"/>
          <w:szCs w:val="24"/>
          <w:lang w:eastAsia="bg-BG"/>
        </w:rPr>
      </w:pPr>
      <w:r w:rsidRPr="00A519A8">
        <w:rPr>
          <w:rFonts w:ascii="Times New Roman" w:eastAsia="Times New Roman" w:hAnsi="Times New Roman" w:cs="Times New Roman"/>
          <w:b/>
          <w:i/>
          <w:sz w:val="24"/>
          <w:szCs w:val="24"/>
          <w:lang w:eastAsia="bg-BG"/>
        </w:rPr>
        <w:t>3. в резултат на промени в свързаното национално законодателство или в законодателството на ЕС;</w:t>
      </w:r>
    </w:p>
    <w:p w:rsidR="003C4D41" w:rsidRPr="00A519A8" w:rsidRDefault="003C4D41" w:rsidP="005A0203">
      <w:pPr>
        <w:shd w:val="clear" w:color="auto" w:fill="FFFFFF"/>
        <w:spacing w:after="0" w:line="360" w:lineRule="auto"/>
        <w:ind w:firstLine="680"/>
        <w:jc w:val="both"/>
        <w:rPr>
          <w:rFonts w:ascii="Times New Roman" w:eastAsia="Times New Roman" w:hAnsi="Times New Roman" w:cs="Times New Roman"/>
          <w:i/>
          <w:sz w:val="24"/>
          <w:szCs w:val="24"/>
          <w:lang w:eastAsia="bg-BG"/>
        </w:rPr>
      </w:pPr>
      <w:r w:rsidRPr="00A519A8">
        <w:rPr>
          <w:rFonts w:ascii="Times New Roman" w:eastAsia="Times New Roman" w:hAnsi="Times New Roman" w:cs="Times New Roman"/>
          <w:i/>
          <w:sz w:val="24"/>
          <w:szCs w:val="24"/>
          <w:lang w:eastAsia="bg-BG"/>
        </w:rPr>
        <w:t>4. при съществени промени в секторни стратегии и програми, влияещи върху изпълнението на областната стратегия;</w:t>
      </w:r>
    </w:p>
    <w:p w:rsidR="003C4D41" w:rsidRPr="00A519A8" w:rsidRDefault="003C4D41" w:rsidP="005A0203">
      <w:pPr>
        <w:shd w:val="clear" w:color="auto" w:fill="FFFFFF"/>
        <w:spacing w:after="0" w:line="360" w:lineRule="auto"/>
        <w:ind w:firstLine="680"/>
        <w:jc w:val="both"/>
        <w:rPr>
          <w:rFonts w:ascii="Times New Roman" w:eastAsia="Times New Roman" w:hAnsi="Times New Roman" w:cs="Times New Roman"/>
          <w:b/>
          <w:i/>
          <w:sz w:val="24"/>
          <w:szCs w:val="24"/>
          <w:lang w:eastAsia="bg-BG"/>
        </w:rPr>
      </w:pPr>
      <w:r w:rsidRPr="00A519A8">
        <w:rPr>
          <w:rFonts w:ascii="Times New Roman" w:eastAsia="Times New Roman" w:hAnsi="Times New Roman" w:cs="Times New Roman"/>
          <w:b/>
          <w:i/>
          <w:sz w:val="24"/>
          <w:szCs w:val="24"/>
          <w:lang w:eastAsia="bg-BG"/>
        </w:rPr>
        <w:t>5. при промени в териториалния обхват на районите за целенасочена подкрепа.</w:t>
      </w:r>
    </w:p>
    <w:p w:rsidR="003C4D41" w:rsidRDefault="002263D8" w:rsidP="005A0203">
      <w:pPr>
        <w:shd w:val="clear" w:color="auto" w:fill="FFFFFF"/>
        <w:spacing w:after="0" w:line="360" w:lineRule="auto"/>
        <w:ind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 така поставените от закона</w:t>
      </w:r>
      <w:r w:rsidR="00256C03">
        <w:rPr>
          <w:rFonts w:ascii="Times New Roman" w:eastAsia="Times New Roman" w:hAnsi="Times New Roman" w:cs="Times New Roman"/>
          <w:sz w:val="24"/>
          <w:szCs w:val="24"/>
          <w:lang w:eastAsia="bg-BG"/>
        </w:rPr>
        <w:t xml:space="preserve"> и правилника за неговото прилагане</w:t>
      </w:r>
      <w:r>
        <w:rPr>
          <w:rFonts w:ascii="Times New Roman" w:eastAsia="Times New Roman" w:hAnsi="Times New Roman" w:cs="Times New Roman"/>
          <w:sz w:val="24"/>
          <w:szCs w:val="24"/>
          <w:lang w:eastAsia="bg-BG"/>
        </w:rPr>
        <w:t xml:space="preserve"> условия за актуализация на ОСР, екипът на „Географика“ ООД препоръчва актуализация на стратегическия документ.</w:t>
      </w:r>
    </w:p>
    <w:p w:rsidR="00420A18" w:rsidRDefault="00420A18" w:rsidP="005A0203">
      <w:pPr>
        <w:shd w:val="clear" w:color="auto" w:fill="FFFFFF"/>
        <w:spacing w:after="0" w:line="360" w:lineRule="auto"/>
        <w:ind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Актуализацията на документа</w:t>
      </w:r>
      <w:r w:rsidR="007C39D7">
        <w:rPr>
          <w:rFonts w:ascii="Times New Roman" w:eastAsia="Times New Roman" w:hAnsi="Times New Roman" w:cs="Times New Roman"/>
          <w:sz w:val="24"/>
          <w:szCs w:val="24"/>
          <w:lang w:eastAsia="bg-BG"/>
        </w:rPr>
        <w:t xml:space="preserve"> следва</w:t>
      </w:r>
      <w:r>
        <w:rPr>
          <w:rFonts w:ascii="Times New Roman" w:eastAsia="Times New Roman" w:hAnsi="Times New Roman" w:cs="Times New Roman"/>
          <w:sz w:val="24"/>
          <w:szCs w:val="24"/>
          <w:lang w:eastAsia="bg-BG"/>
        </w:rPr>
        <w:t xml:space="preserve"> да се извърши след като е известно </w:t>
      </w:r>
      <w:r w:rsidR="00256C03">
        <w:rPr>
          <w:rFonts w:ascii="Times New Roman" w:eastAsia="Times New Roman" w:hAnsi="Times New Roman" w:cs="Times New Roman"/>
          <w:sz w:val="24"/>
          <w:szCs w:val="24"/>
          <w:lang w:eastAsia="bg-BG"/>
        </w:rPr>
        <w:t xml:space="preserve">и </w:t>
      </w:r>
      <w:r>
        <w:rPr>
          <w:rFonts w:ascii="Times New Roman" w:eastAsia="Times New Roman" w:hAnsi="Times New Roman" w:cs="Times New Roman"/>
          <w:sz w:val="24"/>
          <w:szCs w:val="24"/>
          <w:lang w:eastAsia="bg-BG"/>
        </w:rPr>
        <w:t xml:space="preserve">новото райониране на </w:t>
      </w:r>
      <w:r w:rsidR="007C39D7">
        <w:rPr>
          <w:rFonts w:ascii="Times New Roman" w:eastAsia="Times New Roman" w:hAnsi="Times New Roman" w:cs="Times New Roman"/>
          <w:sz w:val="24"/>
          <w:szCs w:val="24"/>
          <w:lang w:eastAsia="bg-BG"/>
        </w:rPr>
        <w:t xml:space="preserve">Р </w:t>
      </w:r>
      <w:r>
        <w:rPr>
          <w:rFonts w:ascii="Times New Roman" w:eastAsia="Times New Roman" w:hAnsi="Times New Roman" w:cs="Times New Roman"/>
          <w:sz w:val="24"/>
          <w:szCs w:val="24"/>
          <w:lang w:eastAsia="bg-BG"/>
        </w:rPr>
        <w:t>България</w:t>
      </w:r>
      <w:r w:rsidR="007C39D7">
        <w:rPr>
          <w:rFonts w:ascii="Times New Roman" w:eastAsia="Times New Roman" w:hAnsi="Times New Roman" w:cs="Times New Roman"/>
          <w:sz w:val="24"/>
          <w:szCs w:val="24"/>
          <w:lang w:eastAsia="bg-BG"/>
        </w:rPr>
        <w:t>, подготвяно от МРРБ</w:t>
      </w:r>
      <w:r w:rsidR="00256C03">
        <w:rPr>
          <w:rFonts w:ascii="Times New Roman" w:eastAsia="Times New Roman" w:hAnsi="Times New Roman" w:cs="Times New Roman"/>
          <w:sz w:val="24"/>
          <w:szCs w:val="24"/>
          <w:lang w:eastAsia="bg-BG"/>
        </w:rPr>
        <w:t>.</w:t>
      </w:r>
    </w:p>
    <w:p w:rsidR="00E55DBE" w:rsidRPr="00A519A8" w:rsidRDefault="00E55DBE" w:rsidP="00130ADE">
      <w:pPr>
        <w:spacing w:after="0" w:line="360" w:lineRule="auto"/>
        <w:ind w:firstLine="709"/>
        <w:jc w:val="both"/>
        <w:rPr>
          <w:rFonts w:ascii="Times New Roman" w:hAnsi="Times New Roman" w:cs="Times New Roman"/>
          <w:b/>
          <w:sz w:val="24"/>
          <w:szCs w:val="24"/>
          <w:u w:val="single"/>
        </w:rPr>
      </w:pPr>
      <w:r w:rsidRPr="00A519A8">
        <w:rPr>
          <w:rFonts w:ascii="Times New Roman" w:hAnsi="Times New Roman" w:cs="Times New Roman"/>
          <w:b/>
          <w:sz w:val="24"/>
          <w:szCs w:val="24"/>
          <w:u w:val="single"/>
        </w:rPr>
        <w:t xml:space="preserve">Постигнат напредък по изпълнението на социално-икономическите показатели </w:t>
      </w:r>
    </w:p>
    <w:p w:rsidR="003F2818" w:rsidRPr="00130ADE" w:rsidRDefault="003F2818" w:rsidP="00130ADE">
      <w:pPr>
        <w:spacing w:after="0" w:line="360" w:lineRule="auto"/>
        <w:ind w:firstLine="680"/>
        <w:jc w:val="both"/>
        <w:rPr>
          <w:rFonts w:ascii="Times New Roman" w:eastAsia="Times New Roman" w:hAnsi="Times New Roman" w:cs="Times New Roman"/>
          <w:sz w:val="24"/>
          <w:szCs w:val="24"/>
          <w:lang w:eastAsia="bg-BG"/>
        </w:rPr>
      </w:pPr>
      <w:r w:rsidRPr="00130ADE">
        <w:rPr>
          <w:rFonts w:ascii="Times New Roman" w:eastAsia="Times New Roman" w:hAnsi="Times New Roman" w:cs="Times New Roman"/>
          <w:sz w:val="24"/>
          <w:szCs w:val="24"/>
          <w:lang w:eastAsia="bg-BG"/>
        </w:rPr>
        <w:t>Въз основа на анализа на тенденциите в социално-икономическото развитие на област Ловеч за периода 2014-2016 г., екипът на „Географика“ ООД направи изводи относно първоначалните резултати от изпълнението на ОСР:</w:t>
      </w:r>
    </w:p>
    <w:p w:rsidR="003F2818" w:rsidRPr="00130ADE" w:rsidRDefault="003F2818" w:rsidP="00130ADE">
      <w:pPr>
        <w:spacing w:after="0" w:line="360" w:lineRule="auto"/>
        <w:ind w:firstLine="680"/>
        <w:jc w:val="both"/>
        <w:rPr>
          <w:rFonts w:ascii="Times New Roman" w:eastAsia="Times New Roman" w:hAnsi="Times New Roman" w:cs="Times New Roman"/>
          <w:sz w:val="24"/>
          <w:szCs w:val="24"/>
          <w:lang w:eastAsia="bg-BG"/>
        </w:rPr>
      </w:pPr>
      <w:r w:rsidRPr="00130ADE">
        <w:rPr>
          <w:rFonts w:ascii="Times New Roman" w:eastAsia="Times New Roman" w:hAnsi="Times New Roman" w:cs="Times New Roman"/>
          <w:sz w:val="24"/>
          <w:szCs w:val="24"/>
          <w:lang w:eastAsia="bg-BG"/>
        </w:rPr>
        <w:t>При следните критерии и индикатори се наблюдава положителна промяна в стойностите за наблюдавания период:</w:t>
      </w:r>
    </w:p>
    <w:p w:rsidR="003F2818" w:rsidRPr="00130ADE" w:rsidRDefault="003F2818" w:rsidP="007376E3">
      <w:pPr>
        <w:pStyle w:val="Default"/>
        <w:numPr>
          <w:ilvl w:val="0"/>
          <w:numId w:val="35"/>
        </w:numPr>
        <w:spacing w:line="360" w:lineRule="auto"/>
        <w:ind w:left="993"/>
        <w:jc w:val="both"/>
      </w:pPr>
      <w:r w:rsidRPr="00130ADE">
        <w:t>Икономически показатели като положителен ръст на доходите, лек спад на безработицата, нарастване на инвестиционната активност на предприятията</w:t>
      </w:r>
      <w:r w:rsidR="007376E3">
        <w:t>;</w:t>
      </w:r>
    </w:p>
    <w:p w:rsidR="003F2818" w:rsidRPr="00130ADE" w:rsidRDefault="003F2818" w:rsidP="007376E3">
      <w:pPr>
        <w:pStyle w:val="Default"/>
        <w:numPr>
          <w:ilvl w:val="0"/>
          <w:numId w:val="35"/>
        </w:numPr>
        <w:spacing w:line="360" w:lineRule="auto"/>
        <w:ind w:left="993"/>
        <w:jc w:val="both"/>
      </w:pPr>
      <w:r w:rsidRPr="00130ADE">
        <w:t>Подобряване на показателите и покачване на разходите за опазване на околната среда</w:t>
      </w:r>
      <w:r w:rsidR="007376E3">
        <w:t>;</w:t>
      </w:r>
      <w:r w:rsidRPr="00130ADE">
        <w:t xml:space="preserve"> </w:t>
      </w:r>
    </w:p>
    <w:p w:rsidR="003F2818" w:rsidRPr="00130ADE" w:rsidRDefault="003F2818" w:rsidP="007376E3">
      <w:pPr>
        <w:pStyle w:val="Default"/>
        <w:numPr>
          <w:ilvl w:val="0"/>
          <w:numId w:val="35"/>
        </w:numPr>
        <w:spacing w:line="360" w:lineRule="auto"/>
        <w:ind w:left="993"/>
        <w:jc w:val="both"/>
      </w:pPr>
      <w:r w:rsidRPr="00130ADE">
        <w:t>Образователна система - добре развита мрежа от училища</w:t>
      </w:r>
      <w:r w:rsidR="007376E3">
        <w:t>;</w:t>
      </w:r>
    </w:p>
    <w:p w:rsidR="003F2818" w:rsidRPr="00130ADE" w:rsidRDefault="003F2818" w:rsidP="007376E3">
      <w:pPr>
        <w:pStyle w:val="Default"/>
        <w:numPr>
          <w:ilvl w:val="0"/>
          <w:numId w:val="35"/>
        </w:numPr>
        <w:spacing w:line="360" w:lineRule="auto"/>
        <w:ind w:left="993"/>
        <w:jc w:val="both"/>
      </w:pPr>
      <w:r w:rsidRPr="00130ADE">
        <w:t>Здравеопазване – населението в област Ловеч е добре обезпечено с лекари</w:t>
      </w:r>
      <w:r w:rsidR="007376E3">
        <w:t>.</w:t>
      </w:r>
    </w:p>
    <w:p w:rsidR="007376E3" w:rsidRDefault="003F2818" w:rsidP="007376E3">
      <w:pPr>
        <w:spacing w:after="0" w:line="360" w:lineRule="auto"/>
        <w:ind w:firstLine="680"/>
        <w:jc w:val="both"/>
        <w:rPr>
          <w:rFonts w:ascii="Times New Roman" w:eastAsia="Times New Roman" w:hAnsi="Times New Roman" w:cs="Times New Roman"/>
          <w:sz w:val="24"/>
          <w:szCs w:val="24"/>
          <w:lang w:eastAsia="bg-BG"/>
        </w:rPr>
      </w:pPr>
      <w:r w:rsidRPr="00130ADE">
        <w:rPr>
          <w:rFonts w:ascii="Times New Roman" w:eastAsia="Times New Roman" w:hAnsi="Times New Roman" w:cs="Times New Roman"/>
          <w:sz w:val="24"/>
          <w:szCs w:val="24"/>
          <w:lang w:eastAsia="bg-BG"/>
        </w:rPr>
        <w:t xml:space="preserve">При следните критерии и индикатори се наблюдава отрицателна промяна на стойностите: </w:t>
      </w:r>
    </w:p>
    <w:p w:rsidR="007376E3" w:rsidRDefault="003F2818" w:rsidP="007376E3">
      <w:pPr>
        <w:pStyle w:val="Default"/>
        <w:numPr>
          <w:ilvl w:val="0"/>
          <w:numId w:val="35"/>
        </w:numPr>
        <w:spacing w:line="360" w:lineRule="auto"/>
        <w:ind w:left="993"/>
        <w:jc w:val="both"/>
      </w:pPr>
      <w:r w:rsidRPr="00130ADE">
        <w:t>Демографските показатели, като брой на населението, раждаемост, смъртност, естествен и механичен прираст, намаляване на населението в подтрудоспособна възраст</w:t>
      </w:r>
      <w:r w:rsidR="007376E3">
        <w:t>;</w:t>
      </w:r>
    </w:p>
    <w:p w:rsidR="007376E3" w:rsidRDefault="003F2818" w:rsidP="007376E3">
      <w:pPr>
        <w:pStyle w:val="Default"/>
        <w:numPr>
          <w:ilvl w:val="0"/>
          <w:numId w:val="35"/>
        </w:numPr>
        <w:spacing w:line="360" w:lineRule="auto"/>
        <w:ind w:left="993"/>
        <w:jc w:val="both"/>
      </w:pPr>
      <w:r w:rsidRPr="00130ADE">
        <w:t xml:space="preserve">намаляване </w:t>
      </w:r>
      <w:r w:rsidRPr="007376E3">
        <w:t>на селскостопанския фонд</w:t>
      </w:r>
      <w:r w:rsidR="007376E3">
        <w:t>;</w:t>
      </w:r>
    </w:p>
    <w:p w:rsidR="007376E3" w:rsidRDefault="003F2818" w:rsidP="007376E3">
      <w:pPr>
        <w:pStyle w:val="Default"/>
        <w:numPr>
          <w:ilvl w:val="0"/>
          <w:numId w:val="35"/>
        </w:numPr>
        <w:spacing w:line="360" w:lineRule="auto"/>
        <w:ind w:left="993"/>
        <w:jc w:val="both"/>
      </w:pPr>
      <w:r w:rsidRPr="007376E3">
        <w:t xml:space="preserve">леко </w:t>
      </w:r>
      <w:r w:rsidRPr="00130ADE">
        <w:t xml:space="preserve">намаляване </w:t>
      </w:r>
      <w:r w:rsidRPr="007376E3">
        <w:t>броят на предприятията</w:t>
      </w:r>
      <w:r w:rsidR="007376E3">
        <w:t>;</w:t>
      </w:r>
    </w:p>
    <w:p w:rsidR="00E55DBE" w:rsidRPr="007376E3" w:rsidRDefault="003F2818" w:rsidP="007376E3">
      <w:pPr>
        <w:pStyle w:val="Default"/>
        <w:numPr>
          <w:ilvl w:val="0"/>
          <w:numId w:val="35"/>
        </w:numPr>
        <w:spacing w:line="360" w:lineRule="auto"/>
        <w:ind w:left="993"/>
        <w:jc w:val="both"/>
      </w:pPr>
      <w:r w:rsidRPr="007376E3">
        <w:t>разпределението на медицинския персонал по общини е неравномерно</w:t>
      </w:r>
      <w:r w:rsidR="007376E3">
        <w:t>.</w:t>
      </w:r>
      <w:r w:rsidRPr="00130ADE">
        <w:t xml:space="preserve"> </w:t>
      </w:r>
    </w:p>
    <w:p w:rsidR="00DD61AA" w:rsidRDefault="00DD61AA" w:rsidP="00130ADE">
      <w:pPr>
        <w:spacing w:after="0" w:line="360" w:lineRule="auto"/>
        <w:ind w:firstLine="709"/>
        <w:jc w:val="both"/>
        <w:rPr>
          <w:rFonts w:ascii="Times New Roman" w:hAnsi="Times New Roman" w:cs="Times New Roman"/>
          <w:b/>
          <w:sz w:val="24"/>
          <w:szCs w:val="24"/>
          <w:u w:val="single"/>
        </w:rPr>
      </w:pPr>
    </w:p>
    <w:p w:rsidR="00A94939" w:rsidRPr="007376E3" w:rsidRDefault="00E55DBE" w:rsidP="00130ADE">
      <w:pPr>
        <w:spacing w:after="0" w:line="360" w:lineRule="auto"/>
        <w:ind w:firstLine="709"/>
        <w:jc w:val="both"/>
        <w:rPr>
          <w:rFonts w:ascii="Times New Roman" w:hAnsi="Times New Roman" w:cs="Times New Roman"/>
          <w:b/>
          <w:sz w:val="24"/>
          <w:szCs w:val="24"/>
          <w:u w:val="single"/>
        </w:rPr>
      </w:pPr>
      <w:r w:rsidRPr="007376E3">
        <w:rPr>
          <w:rFonts w:ascii="Times New Roman" w:hAnsi="Times New Roman" w:cs="Times New Roman"/>
          <w:b/>
          <w:sz w:val="24"/>
          <w:szCs w:val="24"/>
          <w:u w:val="single"/>
        </w:rPr>
        <w:t>Степен на постигане на стратегическите</w:t>
      </w:r>
      <w:r w:rsidR="00A94939" w:rsidRPr="007376E3">
        <w:rPr>
          <w:rFonts w:ascii="Times New Roman" w:hAnsi="Times New Roman" w:cs="Times New Roman"/>
          <w:b/>
          <w:sz w:val="24"/>
          <w:szCs w:val="24"/>
          <w:u w:val="single"/>
        </w:rPr>
        <w:t xml:space="preserve"> цели</w:t>
      </w:r>
      <w:r w:rsidRPr="007376E3">
        <w:rPr>
          <w:rFonts w:ascii="Times New Roman" w:hAnsi="Times New Roman" w:cs="Times New Roman"/>
          <w:b/>
          <w:sz w:val="24"/>
          <w:szCs w:val="24"/>
          <w:u w:val="single"/>
        </w:rPr>
        <w:t>,</w:t>
      </w:r>
      <w:r w:rsidR="00A94939" w:rsidRPr="007376E3">
        <w:rPr>
          <w:rFonts w:ascii="Times New Roman" w:hAnsi="Times New Roman" w:cs="Times New Roman"/>
          <w:b/>
          <w:sz w:val="24"/>
          <w:szCs w:val="24"/>
          <w:u w:val="single"/>
        </w:rPr>
        <w:t xml:space="preserve"> приоритети</w:t>
      </w:r>
      <w:r w:rsidRPr="007376E3">
        <w:rPr>
          <w:rFonts w:ascii="Times New Roman" w:hAnsi="Times New Roman" w:cs="Times New Roman"/>
          <w:b/>
          <w:sz w:val="24"/>
          <w:szCs w:val="24"/>
          <w:u w:val="single"/>
        </w:rPr>
        <w:t xml:space="preserve"> и мерки</w:t>
      </w:r>
      <w:r w:rsidR="00A94939" w:rsidRPr="007376E3">
        <w:rPr>
          <w:rFonts w:ascii="Times New Roman" w:hAnsi="Times New Roman" w:cs="Times New Roman"/>
          <w:b/>
          <w:sz w:val="24"/>
          <w:szCs w:val="24"/>
          <w:u w:val="single"/>
        </w:rPr>
        <w:t xml:space="preserve"> за развитие на област Ловеч през периода 2014-2017 г. </w:t>
      </w:r>
    </w:p>
    <w:p w:rsidR="00EC399A" w:rsidRDefault="00EC399A" w:rsidP="00EC39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Степента на постигане на целите на ОСР на област Ловеч за периода 2014-2016 г. може да се оцени като много висока. Най-високо ниво на изпълнение се наблюдава при Стратегическа цел 2, следвана от Стратегическа цел 3 и Стратегическа цел 1. </w:t>
      </w:r>
    </w:p>
    <w:p w:rsidR="0022382A" w:rsidRPr="00130ADE" w:rsidRDefault="00A94939" w:rsidP="00130ADE">
      <w:pPr>
        <w:spacing w:after="0" w:line="360" w:lineRule="auto"/>
        <w:ind w:firstLine="680"/>
        <w:jc w:val="both"/>
        <w:rPr>
          <w:rFonts w:ascii="Times New Roman" w:hAnsi="Times New Roman" w:cs="Times New Roman"/>
          <w:sz w:val="24"/>
          <w:szCs w:val="24"/>
        </w:rPr>
      </w:pPr>
      <w:r w:rsidRPr="00130ADE">
        <w:rPr>
          <w:rFonts w:ascii="Times New Roman" w:hAnsi="Times New Roman" w:cs="Times New Roman"/>
          <w:sz w:val="24"/>
          <w:szCs w:val="24"/>
        </w:rPr>
        <w:t xml:space="preserve">Цялостната междинна оценка на стратегическата рамка на ОСР на област </w:t>
      </w:r>
      <w:r w:rsidR="00E86A02" w:rsidRPr="00130ADE">
        <w:rPr>
          <w:rFonts w:ascii="Times New Roman" w:hAnsi="Times New Roman" w:cs="Times New Roman"/>
          <w:sz w:val="24"/>
          <w:szCs w:val="24"/>
        </w:rPr>
        <w:t>Ловеч</w:t>
      </w:r>
      <w:r w:rsidRPr="00130ADE">
        <w:rPr>
          <w:rFonts w:ascii="Times New Roman" w:hAnsi="Times New Roman" w:cs="Times New Roman"/>
          <w:sz w:val="24"/>
          <w:szCs w:val="24"/>
        </w:rPr>
        <w:t xml:space="preserve"> към 2016 г. показва реализиран напредък по над 2/3 </w:t>
      </w:r>
      <w:r w:rsidR="00EC399A">
        <w:rPr>
          <w:rFonts w:ascii="Times New Roman" w:hAnsi="Times New Roman" w:cs="Times New Roman"/>
          <w:sz w:val="24"/>
          <w:szCs w:val="24"/>
        </w:rPr>
        <w:t>от заложените мерки и дейности.</w:t>
      </w:r>
    </w:p>
    <w:p w:rsidR="00EC399A" w:rsidRDefault="00EC399A" w:rsidP="00EC39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ОСР 2014-2020г. на област Ловеч има заложени 3 стратегически цели с разпределени по тях 16 мерки за развитие, от които:   </w:t>
      </w:r>
    </w:p>
    <w:p w:rsidR="00EC399A" w:rsidRDefault="00EC399A" w:rsidP="00EC399A">
      <w:pPr>
        <w:pStyle w:val="ListParagraph"/>
        <w:numPr>
          <w:ilvl w:val="0"/>
          <w:numId w:val="17"/>
        </w:numPr>
        <w:spacing w:after="0" w:line="360" w:lineRule="auto"/>
        <w:ind w:left="1134"/>
        <w:contextualSpacing w:val="0"/>
        <w:jc w:val="both"/>
        <w:rPr>
          <w:rFonts w:ascii="Times New Roman" w:hAnsi="Times New Roman" w:cs="Times New Roman"/>
          <w:sz w:val="24"/>
          <w:szCs w:val="24"/>
        </w:rPr>
      </w:pPr>
      <w:r w:rsidRPr="005513E5">
        <w:rPr>
          <w:rFonts w:ascii="Times New Roman" w:hAnsi="Times New Roman" w:cs="Times New Roman"/>
          <w:sz w:val="24"/>
          <w:szCs w:val="24"/>
        </w:rPr>
        <w:t>с ниско ниво на изпълнение</w:t>
      </w:r>
      <w:r>
        <w:rPr>
          <w:rFonts w:ascii="Times New Roman" w:hAnsi="Times New Roman" w:cs="Times New Roman"/>
          <w:sz w:val="24"/>
          <w:szCs w:val="24"/>
        </w:rPr>
        <w:t xml:space="preserve"> – 0 бр.</w:t>
      </w:r>
    </w:p>
    <w:p w:rsidR="00EC399A" w:rsidRDefault="00EC399A" w:rsidP="00EC399A">
      <w:pPr>
        <w:pStyle w:val="ListParagraph"/>
        <w:numPr>
          <w:ilvl w:val="0"/>
          <w:numId w:val="17"/>
        </w:numPr>
        <w:spacing w:after="0" w:line="36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със средно ниво на изпълнение – 4 бр.</w:t>
      </w:r>
    </w:p>
    <w:p w:rsidR="00EC399A" w:rsidRPr="005513E5" w:rsidRDefault="00EC399A" w:rsidP="00EC399A">
      <w:pPr>
        <w:pStyle w:val="ListParagraph"/>
        <w:numPr>
          <w:ilvl w:val="0"/>
          <w:numId w:val="17"/>
        </w:numPr>
        <w:spacing w:after="0" w:line="36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с високо ниво на изпълнение – 12 бр.</w:t>
      </w:r>
    </w:p>
    <w:p w:rsidR="00EC399A" w:rsidRDefault="00EC399A" w:rsidP="0066051E">
      <w:pPr>
        <w:spacing w:after="0" w:line="360" w:lineRule="auto"/>
        <w:ind w:firstLine="708"/>
        <w:jc w:val="both"/>
        <w:rPr>
          <w:rFonts w:ascii="Times New Roman" w:hAnsi="Times New Roman" w:cs="Times New Roman"/>
          <w:sz w:val="24"/>
          <w:szCs w:val="24"/>
        </w:rPr>
      </w:pPr>
    </w:p>
    <w:p w:rsidR="00DD61AA" w:rsidRDefault="00DD61AA" w:rsidP="0066051E">
      <w:pPr>
        <w:spacing w:after="0" w:line="360" w:lineRule="auto"/>
        <w:ind w:firstLine="708"/>
        <w:jc w:val="both"/>
        <w:rPr>
          <w:rFonts w:ascii="Times New Roman" w:hAnsi="Times New Roman" w:cs="Times New Roman"/>
          <w:sz w:val="24"/>
          <w:szCs w:val="24"/>
        </w:rPr>
      </w:pPr>
    </w:p>
    <w:p w:rsidR="002A3ED7" w:rsidRPr="002A3ED7" w:rsidRDefault="002A3ED7" w:rsidP="0066051E">
      <w:pPr>
        <w:spacing w:after="0" w:line="360" w:lineRule="auto"/>
        <w:ind w:firstLine="708"/>
        <w:jc w:val="both"/>
        <w:rPr>
          <w:rFonts w:ascii="Times New Roman" w:hAnsi="Times New Roman" w:cs="Times New Roman"/>
          <w:b/>
          <w:sz w:val="24"/>
          <w:szCs w:val="24"/>
          <w:u w:val="single"/>
        </w:rPr>
      </w:pPr>
      <w:r w:rsidRPr="002A3ED7">
        <w:rPr>
          <w:rFonts w:ascii="Times New Roman" w:hAnsi="Times New Roman" w:cs="Times New Roman"/>
          <w:b/>
          <w:sz w:val="24"/>
          <w:szCs w:val="24"/>
          <w:u w:val="single"/>
        </w:rPr>
        <w:t>Ефективност и ефикасност на вложените ресурси</w:t>
      </w:r>
    </w:p>
    <w:p w:rsidR="00F418B7" w:rsidRDefault="00F418B7" w:rsidP="003E73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Анализът на вложените финансови ресурси при изпълнението на ОСР Ловеч показва инвестирането на над 104 млн. лв. за реализиранията на разнообразни дейности и проекти. Приоритет 1 се определя с изключително добро ниво на изпълнение. По Приоритет 2 са реализирани многобройни проекти с не голям финансов ресурс поради същността на проектите, предполагащи меки мерки, което показва ефикасност при ползване на средствата. При проектите, допринасящи за Приоритет 3 се наблюдава се силна териториална поляризация на реализираните финанси, съсредоточени главно в община Ловеч. До 2020 г. следва да се наблегне на подпомагането за реализиране на проекти, целящи модернизация и развитие на местната икономика и в останалите общини в областта. Приоритет 4 има слабо изпълнение поради комбинация от фактори. До края на действие на ОСР Ловеч областната и общинските администрации следва да съсредоточат усилия в отчетност на проекти, допринасящи постигането на този приоритет и разпространение на възможности за финансиране по него сред широката общественост и бизнеса.</w:t>
      </w:r>
    </w:p>
    <w:p w:rsidR="003E73F4" w:rsidRPr="0003118A" w:rsidRDefault="003E73F4" w:rsidP="003E73F4">
      <w:pPr>
        <w:spacing w:after="0" w:line="360" w:lineRule="auto"/>
        <w:ind w:firstLine="708"/>
        <w:jc w:val="both"/>
        <w:rPr>
          <w:rFonts w:ascii="Times New Roman" w:hAnsi="Times New Roman" w:cs="Times New Roman"/>
          <w:sz w:val="24"/>
          <w:szCs w:val="24"/>
        </w:rPr>
      </w:pPr>
    </w:p>
    <w:p w:rsidR="00E86A02" w:rsidRDefault="00E86A02" w:rsidP="008871B3">
      <w:pPr>
        <w:spacing w:after="0" w:line="360" w:lineRule="auto"/>
        <w:ind w:firstLine="708"/>
        <w:jc w:val="both"/>
        <w:rPr>
          <w:rFonts w:ascii="Times New Roman" w:hAnsi="Times New Roman" w:cs="Times New Roman"/>
          <w:sz w:val="24"/>
          <w:szCs w:val="24"/>
        </w:rPr>
      </w:pPr>
      <w:r w:rsidRPr="00205C6C">
        <w:rPr>
          <w:rFonts w:ascii="Times New Roman" w:hAnsi="Times New Roman" w:cs="Times New Roman"/>
          <w:sz w:val="24"/>
          <w:szCs w:val="24"/>
        </w:rPr>
        <w:t>Следва да се обърне внимание, че с изменения на ППЗРР от ДВ, бр. 50 от 2016 г. е въведена нова точка в съдържанието на годишните доклади - изпълнение на проекти, допринасящи за постигане на целите и приоритетите на общинските планове за развитие и на областната стратегия за развитие. Някои от подадените доклади не съдържат тази точка</w:t>
      </w:r>
      <w:r>
        <w:rPr>
          <w:rFonts w:ascii="Times New Roman" w:hAnsi="Times New Roman" w:cs="Times New Roman"/>
          <w:sz w:val="24"/>
          <w:szCs w:val="24"/>
        </w:rPr>
        <w:t>, което</w:t>
      </w:r>
      <w:r w:rsidRPr="00205C6C">
        <w:rPr>
          <w:rFonts w:ascii="Times New Roman" w:hAnsi="Times New Roman" w:cs="Times New Roman"/>
          <w:sz w:val="24"/>
          <w:szCs w:val="24"/>
        </w:rPr>
        <w:t xml:space="preserve"> следва да се вземе предвид </w:t>
      </w:r>
      <w:r>
        <w:rPr>
          <w:rFonts w:ascii="Times New Roman" w:hAnsi="Times New Roman" w:cs="Times New Roman"/>
          <w:sz w:val="24"/>
          <w:szCs w:val="24"/>
        </w:rPr>
        <w:t>при</w:t>
      </w:r>
      <w:r w:rsidRPr="00205C6C">
        <w:rPr>
          <w:rFonts w:ascii="Times New Roman" w:hAnsi="Times New Roman" w:cs="Times New Roman"/>
          <w:sz w:val="24"/>
          <w:szCs w:val="24"/>
        </w:rPr>
        <w:t xml:space="preserve"> следващ</w:t>
      </w:r>
      <w:r>
        <w:rPr>
          <w:rFonts w:ascii="Times New Roman" w:hAnsi="Times New Roman" w:cs="Times New Roman"/>
          <w:sz w:val="24"/>
          <w:szCs w:val="24"/>
        </w:rPr>
        <w:t>о годишно</w:t>
      </w:r>
      <w:r w:rsidRPr="00205C6C">
        <w:rPr>
          <w:rFonts w:ascii="Times New Roman" w:hAnsi="Times New Roman" w:cs="Times New Roman"/>
          <w:sz w:val="24"/>
          <w:szCs w:val="24"/>
        </w:rPr>
        <w:t xml:space="preserve"> </w:t>
      </w:r>
      <w:r>
        <w:rPr>
          <w:rFonts w:ascii="Times New Roman" w:hAnsi="Times New Roman" w:cs="Times New Roman"/>
          <w:sz w:val="24"/>
          <w:szCs w:val="24"/>
        </w:rPr>
        <w:t>отчитане</w:t>
      </w:r>
      <w:r w:rsidRPr="00205C6C">
        <w:rPr>
          <w:rFonts w:ascii="Times New Roman" w:hAnsi="Times New Roman" w:cs="Times New Roman"/>
          <w:sz w:val="24"/>
          <w:szCs w:val="24"/>
        </w:rPr>
        <w:t>.</w:t>
      </w:r>
    </w:p>
    <w:p w:rsidR="008871B3" w:rsidRDefault="00E86A02" w:rsidP="008871B3">
      <w:pPr>
        <w:spacing w:after="0" w:line="360" w:lineRule="auto"/>
        <w:ind w:firstLine="708"/>
        <w:jc w:val="both"/>
        <w:rPr>
          <w:rFonts w:ascii="Times New Roman" w:hAnsi="Times New Roman" w:cs="Times New Roman"/>
          <w:sz w:val="24"/>
          <w:szCs w:val="24"/>
        </w:rPr>
      </w:pPr>
      <w:r w:rsidRPr="005F07BB">
        <w:rPr>
          <w:rFonts w:ascii="Times New Roman" w:hAnsi="Times New Roman" w:cs="Times New Roman"/>
          <w:sz w:val="24"/>
          <w:szCs w:val="24"/>
        </w:rPr>
        <w:t>Прогноза</w:t>
      </w:r>
      <w:r>
        <w:rPr>
          <w:rFonts w:ascii="Times New Roman" w:hAnsi="Times New Roman" w:cs="Times New Roman"/>
          <w:sz w:val="24"/>
          <w:szCs w:val="24"/>
        </w:rPr>
        <w:t>, която оценъчният екип дава относно</w:t>
      </w:r>
      <w:r w:rsidRPr="005F07BB">
        <w:rPr>
          <w:rFonts w:ascii="Times New Roman" w:hAnsi="Times New Roman" w:cs="Times New Roman"/>
          <w:sz w:val="24"/>
          <w:szCs w:val="24"/>
        </w:rPr>
        <w:t xml:space="preserve"> очакваното изпълнение на целите и приоритетите на областната стратегия за развитие до края на периода на действие</w:t>
      </w:r>
      <w:r>
        <w:rPr>
          <w:rFonts w:ascii="Times New Roman" w:hAnsi="Times New Roman" w:cs="Times New Roman"/>
          <w:sz w:val="24"/>
          <w:szCs w:val="24"/>
        </w:rPr>
        <w:t xml:space="preserve"> е, че тя е положителна и изпълнението е реалистично. </w:t>
      </w:r>
      <w:r w:rsidR="003E73F4">
        <w:rPr>
          <w:rFonts w:ascii="Times New Roman" w:hAnsi="Times New Roman" w:cs="Times New Roman"/>
          <w:sz w:val="24"/>
          <w:szCs w:val="24"/>
        </w:rPr>
        <w:t xml:space="preserve">Реализирани дейности ще има </w:t>
      </w:r>
      <w:r w:rsidR="003E73F4" w:rsidRPr="0066051E">
        <w:rPr>
          <w:rFonts w:ascii="Times New Roman" w:hAnsi="Times New Roman" w:cs="Times New Roman"/>
          <w:sz w:val="24"/>
          <w:szCs w:val="24"/>
        </w:rPr>
        <w:t>по всички мерки</w:t>
      </w:r>
      <w:r w:rsidR="003E73F4">
        <w:rPr>
          <w:rFonts w:ascii="Times New Roman" w:hAnsi="Times New Roman" w:cs="Times New Roman"/>
          <w:sz w:val="24"/>
          <w:szCs w:val="24"/>
        </w:rPr>
        <w:t xml:space="preserve"> за развитие и </w:t>
      </w:r>
      <w:r w:rsidR="003E73F4" w:rsidRPr="0066051E">
        <w:rPr>
          <w:rFonts w:ascii="Times New Roman" w:hAnsi="Times New Roman" w:cs="Times New Roman"/>
          <w:sz w:val="24"/>
          <w:szCs w:val="24"/>
        </w:rPr>
        <w:t>ниво</w:t>
      </w:r>
      <w:r w:rsidR="003E73F4">
        <w:rPr>
          <w:rFonts w:ascii="Times New Roman" w:hAnsi="Times New Roman" w:cs="Times New Roman"/>
          <w:sz w:val="24"/>
          <w:szCs w:val="24"/>
        </w:rPr>
        <w:t>то</w:t>
      </w:r>
      <w:r w:rsidR="003E73F4" w:rsidRPr="0066051E">
        <w:rPr>
          <w:rFonts w:ascii="Times New Roman" w:hAnsi="Times New Roman" w:cs="Times New Roman"/>
          <w:sz w:val="24"/>
          <w:szCs w:val="24"/>
        </w:rPr>
        <w:t xml:space="preserve"> на изпълнение </w:t>
      </w:r>
      <w:r w:rsidR="003E73F4">
        <w:rPr>
          <w:rFonts w:ascii="Times New Roman" w:hAnsi="Times New Roman" w:cs="Times New Roman"/>
          <w:sz w:val="24"/>
          <w:szCs w:val="24"/>
        </w:rPr>
        <w:t xml:space="preserve">на целите на ОСР ще е високо. </w:t>
      </w:r>
    </w:p>
    <w:p w:rsidR="00E86A02" w:rsidRDefault="00E86A02" w:rsidP="008871B3">
      <w:pPr>
        <w:spacing w:after="0" w:line="360" w:lineRule="auto"/>
        <w:ind w:firstLine="708"/>
        <w:jc w:val="both"/>
        <w:rPr>
          <w:rFonts w:ascii="Times New Roman" w:hAnsi="Times New Roman" w:cs="Times New Roman"/>
          <w:sz w:val="24"/>
          <w:szCs w:val="24"/>
        </w:rPr>
      </w:pPr>
      <w:r w:rsidRPr="00EA2BF0">
        <w:rPr>
          <w:rFonts w:ascii="Times New Roman" w:hAnsi="Times New Roman" w:cs="Times New Roman"/>
          <w:sz w:val="24"/>
          <w:szCs w:val="24"/>
        </w:rPr>
        <w:t xml:space="preserve">Обобщено, област </w:t>
      </w:r>
      <w:r>
        <w:rPr>
          <w:rFonts w:ascii="Times New Roman" w:hAnsi="Times New Roman" w:cs="Times New Roman"/>
          <w:sz w:val="24"/>
          <w:szCs w:val="24"/>
        </w:rPr>
        <w:t>Ловеч</w:t>
      </w:r>
      <w:r w:rsidRPr="00EA2BF0">
        <w:rPr>
          <w:rFonts w:ascii="Times New Roman" w:hAnsi="Times New Roman" w:cs="Times New Roman"/>
          <w:sz w:val="24"/>
          <w:szCs w:val="24"/>
        </w:rPr>
        <w:t xml:space="preserve"> за разглеждания период се отличава</w:t>
      </w:r>
      <w:r>
        <w:rPr>
          <w:rFonts w:ascii="Times New Roman" w:hAnsi="Times New Roman" w:cs="Times New Roman"/>
          <w:sz w:val="24"/>
          <w:szCs w:val="24"/>
        </w:rPr>
        <w:t xml:space="preserve"> с много добро </w:t>
      </w:r>
      <w:r w:rsidRPr="004767B5">
        <w:rPr>
          <w:rFonts w:ascii="Times New Roman" w:hAnsi="Times New Roman" w:cs="Times New Roman"/>
          <w:sz w:val="24"/>
          <w:szCs w:val="24"/>
        </w:rPr>
        <w:t xml:space="preserve">изпълнение на целите и приоритетите за развитие на област </w:t>
      </w:r>
      <w:r>
        <w:rPr>
          <w:rFonts w:ascii="Times New Roman" w:hAnsi="Times New Roman" w:cs="Times New Roman"/>
          <w:sz w:val="24"/>
          <w:szCs w:val="24"/>
        </w:rPr>
        <w:t>Ловеч</w:t>
      </w:r>
      <w:r w:rsidRPr="004767B5">
        <w:rPr>
          <w:rFonts w:ascii="Times New Roman" w:hAnsi="Times New Roman" w:cs="Times New Roman"/>
          <w:sz w:val="24"/>
          <w:szCs w:val="24"/>
        </w:rPr>
        <w:t xml:space="preserve"> през периода 2014-201</w:t>
      </w:r>
      <w:r w:rsidR="008871B3">
        <w:rPr>
          <w:rFonts w:ascii="Times New Roman" w:hAnsi="Times New Roman" w:cs="Times New Roman"/>
          <w:sz w:val="24"/>
          <w:szCs w:val="24"/>
        </w:rPr>
        <w:t>6</w:t>
      </w:r>
      <w:r w:rsidRPr="004767B5">
        <w:rPr>
          <w:rFonts w:ascii="Times New Roman" w:hAnsi="Times New Roman" w:cs="Times New Roman"/>
          <w:sz w:val="24"/>
          <w:szCs w:val="24"/>
        </w:rPr>
        <w:t xml:space="preserve"> г.</w:t>
      </w:r>
      <w:r>
        <w:rPr>
          <w:rFonts w:ascii="Times New Roman" w:hAnsi="Times New Roman" w:cs="Times New Roman"/>
          <w:sz w:val="24"/>
          <w:szCs w:val="24"/>
        </w:rPr>
        <w:t>, както и</w:t>
      </w:r>
      <w:r w:rsidRPr="00EA2BF0">
        <w:rPr>
          <w:rFonts w:ascii="Times New Roman" w:hAnsi="Times New Roman" w:cs="Times New Roman"/>
          <w:sz w:val="24"/>
          <w:szCs w:val="24"/>
        </w:rPr>
        <w:t xml:space="preserve"> с добро ниво на усвояване на европейски  средства от общинските администрации и наличен капацитет за реализирането на проекти.</w:t>
      </w:r>
    </w:p>
    <w:p w:rsidR="003E73F4" w:rsidRDefault="003E73F4" w:rsidP="00F55877">
      <w:pPr>
        <w:ind w:left="6095" w:firstLine="277"/>
        <w:rPr>
          <w:rFonts w:ascii="Times New Roman" w:hAnsi="Times New Roman" w:cs="Times New Roman"/>
          <w:sz w:val="24"/>
          <w:szCs w:val="24"/>
        </w:rPr>
      </w:pPr>
    </w:p>
    <w:p w:rsidR="00573A78" w:rsidRDefault="00573A78" w:rsidP="00F55877">
      <w:pPr>
        <w:ind w:left="6095" w:firstLine="277"/>
        <w:rPr>
          <w:rFonts w:ascii="Times New Roman" w:hAnsi="Times New Roman" w:cs="Times New Roman"/>
          <w:sz w:val="24"/>
          <w:szCs w:val="24"/>
        </w:rPr>
      </w:pPr>
    </w:p>
    <w:p w:rsidR="009F621A" w:rsidRDefault="009F621A" w:rsidP="00F55877">
      <w:pPr>
        <w:ind w:left="6095" w:firstLine="277"/>
        <w:rPr>
          <w:rFonts w:ascii="Times New Roman" w:hAnsi="Times New Roman" w:cs="Times New Roman"/>
          <w:b/>
          <w:sz w:val="24"/>
          <w:szCs w:val="24"/>
        </w:rPr>
      </w:pPr>
      <w:r>
        <w:rPr>
          <w:rFonts w:ascii="Times New Roman" w:hAnsi="Times New Roman" w:cs="Times New Roman"/>
          <w:b/>
          <w:sz w:val="24"/>
          <w:szCs w:val="24"/>
        </w:rPr>
        <w:t>…………………..</w:t>
      </w:r>
    </w:p>
    <w:p w:rsidR="00563C54" w:rsidRPr="009F621A" w:rsidRDefault="00481E0C" w:rsidP="00FE1442">
      <w:pPr>
        <w:spacing w:after="120" w:line="240" w:lineRule="auto"/>
        <w:ind w:left="5387"/>
        <w:rPr>
          <w:rFonts w:ascii="Times New Roman" w:hAnsi="Times New Roman" w:cs="Times New Roman"/>
          <w:b/>
          <w:sz w:val="24"/>
          <w:szCs w:val="24"/>
        </w:rPr>
      </w:pPr>
      <w:r w:rsidRPr="009F621A">
        <w:rPr>
          <w:rFonts w:ascii="Times New Roman" w:hAnsi="Times New Roman" w:cs="Times New Roman"/>
          <w:b/>
          <w:sz w:val="24"/>
          <w:szCs w:val="24"/>
        </w:rPr>
        <w:t>ВЕСЕЛИНА ДИМИТРОВА</w:t>
      </w:r>
    </w:p>
    <w:p w:rsidR="00481E0C" w:rsidRPr="009F621A" w:rsidRDefault="00481E0C" w:rsidP="00FE1442">
      <w:pPr>
        <w:spacing w:after="120" w:line="240" w:lineRule="auto"/>
        <w:ind w:left="5387"/>
        <w:rPr>
          <w:rFonts w:ascii="Times New Roman" w:hAnsi="Times New Roman" w:cs="Times New Roman"/>
          <w:b/>
          <w:sz w:val="24"/>
          <w:szCs w:val="24"/>
        </w:rPr>
      </w:pPr>
      <w:r w:rsidRPr="009F621A">
        <w:rPr>
          <w:rFonts w:ascii="Times New Roman" w:hAnsi="Times New Roman" w:cs="Times New Roman"/>
          <w:b/>
          <w:sz w:val="24"/>
          <w:szCs w:val="24"/>
        </w:rPr>
        <w:t xml:space="preserve">УПРАВИТЕЛ НА </w:t>
      </w:r>
    </w:p>
    <w:p w:rsidR="00481E0C" w:rsidRPr="009F621A" w:rsidRDefault="00481E0C" w:rsidP="00FE1442">
      <w:pPr>
        <w:spacing w:after="120" w:line="240" w:lineRule="auto"/>
        <w:ind w:left="5387"/>
        <w:rPr>
          <w:rFonts w:ascii="Times New Roman" w:hAnsi="Times New Roman" w:cs="Times New Roman"/>
          <w:b/>
          <w:sz w:val="24"/>
          <w:szCs w:val="24"/>
        </w:rPr>
      </w:pPr>
      <w:r w:rsidRPr="009F621A">
        <w:rPr>
          <w:rFonts w:ascii="Times New Roman" w:hAnsi="Times New Roman" w:cs="Times New Roman"/>
          <w:b/>
          <w:sz w:val="24"/>
          <w:szCs w:val="24"/>
        </w:rPr>
        <w:t>ГЕОГРАФИКА ООД</w:t>
      </w:r>
    </w:p>
    <w:sectPr w:rsidR="00481E0C" w:rsidRPr="009F621A" w:rsidSect="00EE3436">
      <w:footerReference w:type="default" r:id="rId34"/>
      <w:pgSz w:w="11906" w:h="16838"/>
      <w:pgMar w:top="851" w:right="991" w:bottom="1134" w:left="1276"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6B" w:rsidRDefault="0078426B" w:rsidP="0000752E">
      <w:pPr>
        <w:spacing w:after="0" w:line="240" w:lineRule="auto"/>
      </w:pPr>
      <w:r>
        <w:separator/>
      </w:r>
    </w:p>
  </w:endnote>
  <w:endnote w:type="continuationSeparator" w:id="0">
    <w:p w:rsidR="0078426B" w:rsidRDefault="0078426B" w:rsidP="0000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03949"/>
      <w:docPartObj>
        <w:docPartGallery w:val="Page Numbers (Bottom of Page)"/>
        <w:docPartUnique/>
      </w:docPartObj>
    </w:sdtPr>
    <w:sdtEndPr>
      <w:rPr>
        <w:noProof/>
      </w:rPr>
    </w:sdtEndPr>
    <w:sdtContent>
      <w:p w:rsidR="00E71648" w:rsidRDefault="00E71648">
        <w:pPr>
          <w:pStyle w:val="Footer"/>
          <w:jc w:val="right"/>
        </w:pPr>
        <w:r>
          <w:fldChar w:fldCharType="begin"/>
        </w:r>
        <w:r>
          <w:instrText xml:space="preserve"> PAGE   \* MERGEFORMAT </w:instrText>
        </w:r>
        <w:r>
          <w:fldChar w:fldCharType="separate"/>
        </w:r>
        <w:r w:rsidR="00732C79">
          <w:rPr>
            <w:noProof/>
          </w:rPr>
          <w:t>19</w:t>
        </w:r>
        <w:r>
          <w:rPr>
            <w:noProof/>
          </w:rPr>
          <w:fldChar w:fldCharType="end"/>
        </w:r>
      </w:p>
    </w:sdtContent>
  </w:sdt>
  <w:p w:rsidR="00E71648" w:rsidRDefault="00E71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6B" w:rsidRDefault="0078426B" w:rsidP="0000752E">
      <w:pPr>
        <w:spacing w:after="0" w:line="240" w:lineRule="auto"/>
      </w:pPr>
      <w:r>
        <w:separator/>
      </w:r>
    </w:p>
  </w:footnote>
  <w:footnote w:type="continuationSeparator" w:id="0">
    <w:p w:rsidR="0078426B" w:rsidRDefault="0078426B" w:rsidP="00007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5C6"/>
    <w:multiLevelType w:val="hybridMultilevel"/>
    <w:tmpl w:val="5F941F22"/>
    <w:lvl w:ilvl="0" w:tplc="149AC3F8">
      <w:start w:val="9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2BA4FDB"/>
    <w:multiLevelType w:val="hybridMultilevel"/>
    <w:tmpl w:val="2E421380"/>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5413A8F"/>
    <w:multiLevelType w:val="hybridMultilevel"/>
    <w:tmpl w:val="9E326DD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60054D5"/>
    <w:multiLevelType w:val="hybridMultilevel"/>
    <w:tmpl w:val="5A10AA4A"/>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F641FB"/>
    <w:multiLevelType w:val="hybridMultilevel"/>
    <w:tmpl w:val="0214237E"/>
    <w:lvl w:ilvl="0" w:tplc="0402000B">
      <w:start w:val="1"/>
      <w:numFmt w:val="bullet"/>
      <w:lvlText w:val=""/>
      <w:lvlJc w:val="left"/>
      <w:pPr>
        <w:tabs>
          <w:tab w:val="num" w:pos="2220"/>
        </w:tabs>
        <w:ind w:left="2220" w:hanging="360"/>
      </w:pPr>
      <w:rPr>
        <w:rFonts w:ascii="Wingdings" w:hAnsi="Wingdings" w:hint="default"/>
      </w:rPr>
    </w:lvl>
    <w:lvl w:ilvl="1" w:tplc="04020003" w:tentative="1">
      <w:start w:val="1"/>
      <w:numFmt w:val="bullet"/>
      <w:lvlText w:val="o"/>
      <w:lvlJc w:val="left"/>
      <w:pPr>
        <w:tabs>
          <w:tab w:val="num" w:pos="1755"/>
        </w:tabs>
        <w:ind w:left="1755" w:hanging="360"/>
      </w:pPr>
      <w:rPr>
        <w:rFonts w:ascii="Courier New" w:hAnsi="Courier New" w:cs="Courier New" w:hint="default"/>
      </w:rPr>
    </w:lvl>
    <w:lvl w:ilvl="2" w:tplc="04020005" w:tentative="1">
      <w:start w:val="1"/>
      <w:numFmt w:val="bullet"/>
      <w:lvlText w:val=""/>
      <w:lvlJc w:val="left"/>
      <w:pPr>
        <w:tabs>
          <w:tab w:val="num" w:pos="2475"/>
        </w:tabs>
        <w:ind w:left="2475" w:hanging="360"/>
      </w:pPr>
      <w:rPr>
        <w:rFonts w:ascii="Wingdings" w:hAnsi="Wingdings" w:hint="default"/>
      </w:rPr>
    </w:lvl>
    <w:lvl w:ilvl="3" w:tplc="04020001" w:tentative="1">
      <w:start w:val="1"/>
      <w:numFmt w:val="bullet"/>
      <w:lvlText w:val=""/>
      <w:lvlJc w:val="left"/>
      <w:pPr>
        <w:tabs>
          <w:tab w:val="num" w:pos="3195"/>
        </w:tabs>
        <w:ind w:left="3195" w:hanging="360"/>
      </w:pPr>
      <w:rPr>
        <w:rFonts w:ascii="Symbol" w:hAnsi="Symbol" w:hint="default"/>
      </w:rPr>
    </w:lvl>
    <w:lvl w:ilvl="4" w:tplc="04020003" w:tentative="1">
      <w:start w:val="1"/>
      <w:numFmt w:val="bullet"/>
      <w:lvlText w:val="o"/>
      <w:lvlJc w:val="left"/>
      <w:pPr>
        <w:tabs>
          <w:tab w:val="num" w:pos="3915"/>
        </w:tabs>
        <w:ind w:left="3915" w:hanging="360"/>
      </w:pPr>
      <w:rPr>
        <w:rFonts w:ascii="Courier New" w:hAnsi="Courier New" w:cs="Courier New" w:hint="default"/>
      </w:rPr>
    </w:lvl>
    <w:lvl w:ilvl="5" w:tplc="04020005" w:tentative="1">
      <w:start w:val="1"/>
      <w:numFmt w:val="bullet"/>
      <w:lvlText w:val=""/>
      <w:lvlJc w:val="left"/>
      <w:pPr>
        <w:tabs>
          <w:tab w:val="num" w:pos="4635"/>
        </w:tabs>
        <w:ind w:left="4635" w:hanging="360"/>
      </w:pPr>
      <w:rPr>
        <w:rFonts w:ascii="Wingdings" w:hAnsi="Wingdings" w:hint="default"/>
      </w:rPr>
    </w:lvl>
    <w:lvl w:ilvl="6" w:tplc="04020001" w:tentative="1">
      <w:start w:val="1"/>
      <w:numFmt w:val="bullet"/>
      <w:lvlText w:val=""/>
      <w:lvlJc w:val="left"/>
      <w:pPr>
        <w:tabs>
          <w:tab w:val="num" w:pos="5355"/>
        </w:tabs>
        <w:ind w:left="5355" w:hanging="360"/>
      </w:pPr>
      <w:rPr>
        <w:rFonts w:ascii="Symbol" w:hAnsi="Symbol" w:hint="default"/>
      </w:rPr>
    </w:lvl>
    <w:lvl w:ilvl="7" w:tplc="04020003" w:tentative="1">
      <w:start w:val="1"/>
      <w:numFmt w:val="bullet"/>
      <w:lvlText w:val="o"/>
      <w:lvlJc w:val="left"/>
      <w:pPr>
        <w:tabs>
          <w:tab w:val="num" w:pos="6075"/>
        </w:tabs>
        <w:ind w:left="6075" w:hanging="360"/>
      </w:pPr>
      <w:rPr>
        <w:rFonts w:ascii="Courier New" w:hAnsi="Courier New" w:cs="Courier New" w:hint="default"/>
      </w:rPr>
    </w:lvl>
    <w:lvl w:ilvl="8" w:tplc="04020005" w:tentative="1">
      <w:start w:val="1"/>
      <w:numFmt w:val="bullet"/>
      <w:lvlText w:val=""/>
      <w:lvlJc w:val="left"/>
      <w:pPr>
        <w:tabs>
          <w:tab w:val="num" w:pos="6795"/>
        </w:tabs>
        <w:ind w:left="6795" w:hanging="360"/>
      </w:pPr>
      <w:rPr>
        <w:rFonts w:ascii="Wingdings" w:hAnsi="Wingdings" w:hint="default"/>
      </w:rPr>
    </w:lvl>
  </w:abstractNum>
  <w:abstractNum w:abstractNumId="5">
    <w:nsid w:val="1BC63F4A"/>
    <w:multiLevelType w:val="hybridMultilevel"/>
    <w:tmpl w:val="97F28D7C"/>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1213220"/>
    <w:multiLevelType w:val="hybridMultilevel"/>
    <w:tmpl w:val="7904FC4E"/>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212547FB"/>
    <w:multiLevelType w:val="hybridMultilevel"/>
    <w:tmpl w:val="1038BB1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nsid w:val="21B131FC"/>
    <w:multiLevelType w:val="hybridMultilevel"/>
    <w:tmpl w:val="189A52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2455BCC"/>
    <w:multiLevelType w:val="hybridMultilevel"/>
    <w:tmpl w:val="189A52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2EA16A6"/>
    <w:multiLevelType w:val="hybridMultilevel"/>
    <w:tmpl w:val="0FD6C6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33D190F"/>
    <w:multiLevelType w:val="hybridMultilevel"/>
    <w:tmpl w:val="18CCC024"/>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7676153"/>
    <w:multiLevelType w:val="hybridMultilevel"/>
    <w:tmpl w:val="F03CB6F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9FD7FC7"/>
    <w:multiLevelType w:val="hybridMultilevel"/>
    <w:tmpl w:val="4A0890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EC4146D"/>
    <w:multiLevelType w:val="hybridMultilevel"/>
    <w:tmpl w:val="17849A04"/>
    <w:lvl w:ilvl="0" w:tplc="EB52700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42E75E5F"/>
    <w:multiLevelType w:val="hybridMultilevel"/>
    <w:tmpl w:val="52B44E8C"/>
    <w:lvl w:ilvl="0" w:tplc="0402000B">
      <w:start w:val="1"/>
      <w:numFmt w:val="bullet"/>
      <w:lvlText w:val=""/>
      <w:lvlJc w:val="left"/>
      <w:pPr>
        <w:tabs>
          <w:tab w:val="num" w:pos="2220"/>
        </w:tabs>
        <w:ind w:left="2220" w:hanging="360"/>
      </w:pPr>
      <w:rPr>
        <w:rFonts w:ascii="Wingdings" w:hAnsi="Wingdings" w:hint="default"/>
      </w:rPr>
    </w:lvl>
    <w:lvl w:ilvl="1" w:tplc="04020003" w:tentative="1">
      <w:start w:val="1"/>
      <w:numFmt w:val="bullet"/>
      <w:lvlText w:val="o"/>
      <w:lvlJc w:val="left"/>
      <w:pPr>
        <w:tabs>
          <w:tab w:val="num" w:pos="1755"/>
        </w:tabs>
        <w:ind w:left="1755" w:hanging="360"/>
      </w:pPr>
      <w:rPr>
        <w:rFonts w:ascii="Courier New" w:hAnsi="Courier New" w:cs="Courier New" w:hint="default"/>
      </w:rPr>
    </w:lvl>
    <w:lvl w:ilvl="2" w:tplc="04020005" w:tentative="1">
      <w:start w:val="1"/>
      <w:numFmt w:val="bullet"/>
      <w:lvlText w:val=""/>
      <w:lvlJc w:val="left"/>
      <w:pPr>
        <w:tabs>
          <w:tab w:val="num" w:pos="2475"/>
        </w:tabs>
        <w:ind w:left="2475" w:hanging="360"/>
      </w:pPr>
      <w:rPr>
        <w:rFonts w:ascii="Wingdings" w:hAnsi="Wingdings" w:hint="default"/>
      </w:rPr>
    </w:lvl>
    <w:lvl w:ilvl="3" w:tplc="04020001" w:tentative="1">
      <w:start w:val="1"/>
      <w:numFmt w:val="bullet"/>
      <w:lvlText w:val=""/>
      <w:lvlJc w:val="left"/>
      <w:pPr>
        <w:tabs>
          <w:tab w:val="num" w:pos="3195"/>
        </w:tabs>
        <w:ind w:left="3195" w:hanging="360"/>
      </w:pPr>
      <w:rPr>
        <w:rFonts w:ascii="Symbol" w:hAnsi="Symbol" w:hint="default"/>
      </w:rPr>
    </w:lvl>
    <w:lvl w:ilvl="4" w:tplc="04020003" w:tentative="1">
      <w:start w:val="1"/>
      <w:numFmt w:val="bullet"/>
      <w:lvlText w:val="o"/>
      <w:lvlJc w:val="left"/>
      <w:pPr>
        <w:tabs>
          <w:tab w:val="num" w:pos="3915"/>
        </w:tabs>
        <w:ind w:left="3915" w:hanging="360"/>
      </w:pPr>
      <w:rPr>
        <w:rFonts w:ascii="Courier New" w:hAnsi="Courier New" w:cs="Courier New" w:hint="default"/>
      </w:rPr>
    </w:lvl>
    <w:lvl w:ilvl="5" w:tplc="04020005" w:tentative="1">
      <w:start w:val="1"/>
      <w:numFmt w:val="bullet"/>
      <w:lvlText w:val=""/>
      <w:lvlJc w:val="left"/>
      <w:pPr>
        <w:tabs>
          <w:tab w:val="num" w:pos="4635"/>
        </w:tabs>
        <w:ind w:left="4635" w:hanging="360"/>
      </w:pPr>
      <w:rPr>
        <w:rFonts w:ascii="Wingdings" w:hAnsi="Wingdings" w:hint="default"/>
      </w:rPr>
    </w:lvl>
    <w:lvl w:ilvl="6" w:tplc="04020001" w:tentative="1">
      <w:start w:val="1"/>
      <w:numFmt w:val="bullet"/>
      <w:lvlText w:val=""/>
      <w:lvlJc w:val="left"/>
      <w:pPr>
        <w:tabs>
          <w:tab w:val="num" w:pos="5355"/>
        </w:tabs>
        <w:ind w:left="5355" w:hanging="360"/>
      </w:pPr>
      <w:rPr>
        <w:rFonts w:ascii="Symbol" w:hAnsi="Symbol" w:hint="default"/>
      </w:rPr>
    </w:lvl>
    <w:lvl w:ilvl="7" w:tplc="04020003" w:tentative="1">
      <w:start w:val="1"/>
      <w:numFmt w:val="bullet"/>
      <w:lvlText w:val="o"/>
      <w:lvlJc w:val="left"/>
      <w:pPr>
        <w:tabs>
          <w:tab w:val="num" w:pos="6075"/>
        </w:tabs>
        <w:ind w:left="6075" w:hanging="360"/>
      </w:pPr>
      <w:rPr>
        <w:rFonts w:ascii="Courier New" w:hAnsi="Courier New" w:cs="Courier New" w:hint="default"/>
      </w:rPr>
    </w:lvl>
    <w:lvl w:ilvl="8" w:tplc="04020005" w:tentative="1">
      <w:start w:val="1"/>
      <w:numFmt w:val="bullet"/>
      <w:lvlText w:val=""/>
      <w:lvlJc w:val="left"/>
      <w:pPr>
        <w:tabs>
          <w:tab w:val="num" w:pos="6795"/>
        </w:tabs>
        <w:ind w:left="6795" w:hanging="360"/>
      </w:pPr>
      <w:rPr>
        <w:rFonts w:ascii="Wingdings" w:hAnsi="Wingdings" w:hint="default"/>
      </w:rPr>
    </w:lvl>
  </w:abstractNum>
  <w:abstractNum w:abstractNumId="16">
    <w:nsid w:val="433A3BEB"/>
    <w:multiLevelType w:val="hybridMultilevel"/>
    <w:tmpl w:val="AD96D8D6"/>
    <w:lvl w:ilvl="0" w:tplc="0402000B">
      <w:start w:val="1"/>
      <w:numFmt w:val="bullet"/>
      <w:lvlText w:val=""/>
      <w:lvlJc w:val="left"/>
      <w:pPr>
        <w:tabs>
          <w:tab w:val="num" w:pos="1800"/>
        </w:tabs>
        <w:ind w:left="1800" w:hanging="360"/>
      </w:pPr>
      <w:rPr>
        <w:rFonts w:ascii="Wingdings" w:hAnsi="Wingdings" w:hint="default"/>
      </w:rPr>
    </w:lvl>
    <w:lvl w:ilvl="1" w:tplc="04020003" w:tentative="1">
      <w:start w:val="1"/>
      <w:numFmt w:val="bullet"/>
      <w:lvlText w:val="o"/>
      <w:lvlJc w:val="left"/>
      <w:pPr>
        <w:tabs>
          <w:tab w:val="num" w:pos="1755"/>
        </w:tabs>
        <w:ind w:left="1755" w:hanging="360"/>
      </w:pPr>
      <w:rPr>
        <w:rFonts w:ascii="Courier New" w:hAnsi="Courier New" w:cs="Courier New" w:hint="default"/>
      </w:rPr>
    </w:lvl>
    <w:lvl w:ilvl="2" w:tplc="04020005" w:tentative="1">
      <w:start w:val="1"/>
      <w:numFmt w:val="bullet"/>
      <w:lvlText w:val=""/>
      <w:lvlJc w:val="left"/>
      <w:pPr>
        <w:tabs>
          <w:tab w:val="num" w:pos="2475"/>
        </w:tabs>
        <w:ind w:left="2475" w:hanging="360"/>
      </w:pPr>
      <w:rPr>
        <w:rFonts w:ascii="Wingdings" w:hAnsi="Wingdings" w:hint="default"/>
      </w:rPr>
    </w:lvl>
    <w:lvl w:ilvl="3" w:tplc="04020001" w:tentative="1">
      <w:start w:val="1"/>
      <w:numFmt w:val="bullet"/>
      <w:lvlText w:val=""/>
      <w:lvlJc w:val="left"/>
      <w:pPr>
        <w:tabs>
          <w:tab w:val="num" w:pos="3195"/>
        </w:tabs>
        <w:ind w:left="3195" w:hanging="360"/>
      </w:pPr>
      <w:rPr>
        <w:rFonts w:ascii="Symbol" w:hAnsi="Symbol" w:hint="default"/>
      </w:rPr>
    </w:lvl>
    <w:lvl w:ilvl="4" w:tplc="04020003" w:tentative="1">
      <w:start w:val="1"/>
      <w:numFmt w:val="bullet"/>
      <w:lvlText w:val="o"/>
      <w:lvlJc w:val="left"/>
      <w:pPr>
        <w:tabs>
          <w:tab w:val="num" w:pos="3915"/>
        </w:tabs>
        <w:ind w:left="3915" w:hanging="360"/>
      </w:pPr>
      <w:rPr>
        <w:rFonts w:ascii="Courier New" w:hAnsi="Courier New" w:cs="Courier New" w:hint="default"/>
      </w:rPr>
    </w:lvl>
    <w:lvl w:ilvl="5" w:tplc="04020005" w:tentative="1">
      <w:start w:val="1"/>
      <w:numFmt w:val="bullet"/>
      <w:lvlText w:val=""/>
      <w:lvlJc w:val="left"/>
      <w:pPr>
        <w:tabs>
          <w:tab w:val="num" w:pos="4635"/>
        </w:tabs>
        <w:ind w:left="4635" w:hanging="360"/>
      </w:pPr>
      <w:rPr>
        <w:rFonts w:ascii="Wingdings" w:hAnsi="Wingdings" w:hint="default"/>
      </w:rPr>
    </w:lvl>
    <w:lvl w:ilvl="6" w:tplc="04020001" w:tentative="1">
      <w:start w:val="1"/>
      <w:numFmt w:val="bullet"/>
      <w:lvlText w:val=""/>
      <w:lvlJc w:val="left"/>
      <w:pPr>
        <w:tabs>
          <w:tab w:val="num" w:pos="5355"/>
        </w:tabs>
        <w:ind w:left="5355" w:hanging="360"/>
      </w:pPr>
      <w:rPr>
        <w:rFonts w:ascii="Symbol" w:hAnsi="Symbol" w:hint="default"/>
      </w:rPr>
    </w:lvl>
    <w:lvl w:ilvl="7" w:tplc="04020003" w:tentative="1">
      <w:start w:val="1"/>
      <w:numFmt w:val="bullet"/>
      <w:lvlText w:val="o"/>
      <w:lvlJc w:val="left"/>
      <w:pPr>
        <w:tabs>
          <w:tab w:val="num" w:pos="6075"/>
        </w:tabs>
        <w:ind w:left="6075" w:hanging="360"/>
      </w:pPr>
      <w:rPr>
        <w:rFonts w:ascii="Courier New" w:hAnsi="Courier New" w:cs="Courier New" w:hint="default"/>
      </w:rPr>
    </w:lvl>
    <w:lvl w:ilvl="8" w:tplc="04020005" w:tentative="1">
      <w:start w:val="1"/>
      <w:numFmt w:val="bullet"/>
      <w:lvlText w:val=""/>
      <w:lvlJc w:val="left"/>
      <w:pPr>
        <w:tabs>
          <w:tab w:val="num" w:pos="6795"/>
        </w:tabs>
        <w:ind w:left="6795" w:hanging="360"/>
      </w:pPr>
      <w:rPr>
        <w:rFonts w:ascii="Wingdings" w:hAnsi="Wingdings" w:hint="default"/>
      </w:rPr>
    </w:lvl>
  </w:abstractNum>
  <w:abstractNum w:abstractNumId="17">
    <w:nsid w:val="46805D01"/>
    <w:multiLevelType w:val="hybridMultilevel"/>
    <w:tmpl w:val="5776D7DC"/>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77D59C2"/>
    <w:multiLevelType w:val="hybridMultilevel"/>
    <w:tmpl w:val="66124DC8"/>
    <w:lvl w:ilvl="0" w:tplc="04020005">
      <w:start w:val="1"/>
      <w:numFmt w:val="bullet"/>
      <w:lvlText w:val=""/>
      <w:lvlJc w:val="left"/>
      <w:pPr>
        <w:ind w:left="720" w:hanging="360"/>
      </w:pPr>
      <w:rPr>
        <w:rFonts w:ascii="Wingdings" w:hAnsi="Wingding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9">
    <w:nsid w:val="4AA439AE"/>
    <w:multiLevelType w:val="hybridMultilevel"/>
    <w:tmpl w:val="28DA7FA0"/>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D0C17E4"/>
    <w:multiLevelType w:val="hybridMultilevel"/>
    <w:tmpl w:val="603EC96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E21125F"/>
    <w:multiLevelType w:val="hybridMultilevel"/>
    <w:tmpl w:val="0646055C"/>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F8900B1"/>
    <w:multiLevelType w:val="hybridMultilevel"/>
    <w:tmpl w:val="538A2CA4"/>
    <w:lvl w:ilvl="0" w:tplc="0409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36E5E14"/>
    <w:multiLevelType w:val="hybridMultilevel"/>
    <w:tmpl w:val="C520FC52"/>
    <w:lvl w:ilvl="0" w:tplc="04020005">
      <w:start w:val="1"/>
      <w:numFmt w:val="bullet"/>
      <w:lvlText w:val=""/>
      <w:lvlJc w:val="left"/>
      <w:pPr>
        <w:ind w:left="720" w:hanging="360"/>
      </w:pPr>
      <w:rPr>
        <w:rFonts w:ascii="Wingdings" w:hAnsi="Wingdings" w:hint="default"/>
      </w:rPr>
    </w:lvl>
    <w:lvl w:ilvl="1" w:tplc="CDBE68A8">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40509D4"/>
    <w:multiLevelType w:val="hybridMultilevel"/>
    <w:tmpl w:val="80D4E56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9E90229"/>
    <w:multiLevelType w:val="hybridMultilevel"/>
    <w:tmpl w:val="0C14D1A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B465C66"/>
    <w:multiLevelType w:val="hybridMultilevel"/>
    <w:tmpl w:val="0678998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DFF4FE2"/>
    <w:multiLevelType w:val="hybridMultilevel"/>
    <w:tmpl w:val="A6B290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EA4087F"/>
    <w:multiLevelType w:val="hybridMultilevel"/>
    <w:tmpl w:val="38882F14"/>
    <w:lvl w:ilvl="0" w:tplc="04020011">
      <w:start w:val="1"/>
      <w:numFmt w:val="decimal"/>
      <w:lvlText w:val="%1)"/>
      <w:lvlJc w:val="left"/>
      <w:pPr>
        <w:ind w:left="1400" w:hanging="360"/>
      </w:pPr>
    </w:lvl>
    <w:lvl w:ilvl="1" w:tplc="04020019">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29">
    <w:nsid w:val="5EF2383F"/>
    <w:multiLevelType w:val="hybridMultilevel"/>
    <w:tmpl w:val="2A5440F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0">
    <w:nsid w:val="61A0011A"/>
    <w:multiLevelType w:val="hybridMultilevel"/>
    <w:tmpl w:val="670EFFC0"/>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2510B96"/>
    <w:multiLevelType w:val="hybridMultilevel"/>
    <w:tmpl w:val="189A52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70A0CF8"/>
    <w:multiLevelType w:val="hybridMultilevel"/>
    <w:tmpl w:val="BD1A35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9FC0529"/>
    <w:multiLevelType w:val="multilevel"/>
    <w:tmpl w:val="57D0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3D4B3F"/>
    <w:multiLevelType w:val="hybridMultilevel"/>
    <w:tmpl w:val="CDA01B74"/>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9"/>
  </w:num>
  <w:num w:numId="2">
    <w:abstractNumId w:val="8"/>
  </w:num>
  <w:num w:numId="3">
    <w:abstractNumId w:val="30"/>
  </w:num>
  <w:num w:numId="4">
    <w:abstractNumId w:val="23"/>
  </w:num>
  <w:num w:numId="5">
    <w:abstractNumId w:val="28"/>
  </w:num>
  <w:num w:numId="6">
    <w:abstractNumId w:val="11"/>
  </w:num>
  <w:num w:numId="7">
    <w:abstractNumId w:val="7"/>
  </w:num>
  <w:num w:numId="8">
    <w:abstractNumId w:val="25"/>
  </w:num>
  <w:num w:numId="9">
    <w:abstractNumId w:val="22"/>
  </w:num>
  <w:num w:numId="10">
    <w:abstractNumId w:val="26"/>
  </w:num>
  <w:num w:numId="11">
    <w:abstractNumId w:val="14"/>
  </w:num>
  <w:num w:numId="12">
    <w:abstractNumId w:val="31"/>
  </w:num>
  <w:num w:numId="13">
    <w:abstractNumId w:val="17"/>
  </w:num>
  <w:num w:numId="14">
    <w:abstractNumId w:val="16"/>
  </w:num>
  <w:num w:numId="15">
    <w:abstractNumId w:val="5"/>
  </w:num>
  <w:num w:numId="16">
    <w:abstractNumId w:val="3"/>
  </w:num>
  <w:num w:numId="17">
    <w:abstractNumId w:val="20"/>
  </w:num>
  <w:num w:numId="18">
    <w:abstractNumId w:val="32"/>
  </w:num>
  <w:num w:numId="19">
    <w:abstractNumId w:val="10"/>
  </w:num>
  <w:num w:numId="20">
    <w:abstractNumId w:val="24"/>
  </w:num>
  <w:num w:numId="21">
    <w:abstractNumId w:val="12"/>
  </w:num>
  <w:num w:numId="22">
    <w:abstractNumId w:val="6"/>
  </w:num>
  <w:num w:numId="23">
    <w:abstractNumId w:val="1"/>
  </w:num>
  <w:num w:numId="24">
    <w:abstractNumId w:val="21"/>
  </w:num>
  <w:num w:numId="25">
    <w:abstractNumId w:val="13"/>
  </w:num>
  <w:num w:numId="26">
    <w:abstractNumId w:val="34"/>
  </w:num>
  <w:num w:numId="27">
    <w:abstractNumId w:val="18"/>
  </w:num>
  <w:num w:numId="28">
    <w:abstractNumId w:val="29"/>
  </w:num>
  <w:num w:numId="29">
    <w:abstractNumId w:val="4"/>
  </w:num>
  <w:num w:numId="30">
    <w:abstractNumId w:val="15"/>
  </w:num>
  <w:num w:numId="31">
    <w:abstractNumId w:val="33"/>
  </w:num>
  <w:num w:numId="32">
    <w:abstractNumId w:val="2"/>
  </w:num>
  <w:num w:numId="33">
    <w:abstractNumId w:val="27"/>
  </w:num>
  <w:num w:numId="34">
    <w:abstractNumId w:val="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B3"/>
    <w:rsid w:val="0000374C"/>
    <w:rsid w:val="00003AB1"/>
    <w:rsid w:val="0000596C"/>
    <w:rsid w:val="0000752E"/>
    <w:rsid w:val="00022DD1"/>
    <w:rsid w:val="00023EF8"/>
    <w:rsid w:val="000268CE"/>
    <w:rsid w:val="00041643"/>
    <w:rsid w:val="00042D05"/>
    <w:rsid w:val="0004390F"/>
    <w:rsid w:val="0005491C"/>
    <w:rsid w:val="00057750"/>
    <w:rsid w:val="00063A8F"/>
    <w:rsid w:val="0007116F"/>
    <w:rsid w:val="000868CF"/>
    <w:rsid w:val="00092089"/>
    <w:rsid w:val="00093101"/>
    <w:rsid w:val="000A2575"/>
    <w:rsid w:val="000B34BA"/>
    <w:rsid w:val="000B7FCE"/>
    <w:rsid w:val="000C2053"/>
    <w:rsid w:val="000C2D20"/>
    <w:rsid w:val="000C54A6"/>
    <w:rsid w:val="000C7975"/>
    <w:rsid w:val="000D1831"/>
    <w:rsid w:val="000E2FCB"/>
    <w:rsid w:val="000F4318"/>
    <w:rsid w:val="00130ADE"/>
    <w:rsid w:val="00134500"/>
    <w:rsid w:val="001531F6"/>
    <w:rsid w:val="0015716F"/>
    <w:rsid w:val="00164F51"/>
    <w:rsid w:val="0017504B"/>
    <w:rsid w:val="00180307"/>
    <w:rsid w:val="00181411"/>
    <w:rsid w:val="00181EAA"/>
    <w:rsid w:val="00184492"/>
    <w:rsid w:val="001871F2"/>
    <w:rsid w:val="001925CB"/>
    <w:rsid w:val="001A7F05"/>
    <w:rsid w:val="001B4153"/>
    <w:rsid w:val="001B6508"/>
    <w:rsid w:val="001C5F69"/>
    <w:rsid w:val="001D283C"/>
    <w:rsid w:val="001D66B0"/>
    <w:rsid w:val="001E5CC2"/>
    <w:rsid w:val="00216C54"/>
    <w:rsid w:val="0022229C"/>
    <w:rsid w:val="0022382A"/>
    <w:rsid w:val="00223E59"/>
    <w:rsid w:val="00224B81"/>
    <w:rsid w:val="00224C5D"/>
    <w:rsid w:val="002263D8"/>
    <w:rsid w:val="00232601"/>
    <w:rsid w:val="002336EC"/>
    <w:rsid w:val="00234E53"/>
    <w:rsid w:val="002356CE"/>
    <w:rsid w:val="0023596C"/>
    <w:rsid w:val="002365D5"/>
    <w:rsid w:val="00240DE4"/>
    <w:rsid w:val="00241BEE"/>
    <w:rsid w:val="00243B36"/>
    <w:rsid w:val="0024575A"/>
    <w:rsid w:val="00246404"/>
    <w:rsid w:val="00247D11"/>
    <w:rsid w:val="002529E8"/>
    <w:rsid w:val="00254685"/>
    <w:rsid w:val="00256C03"/>
    <w:rsid w:val="002573EC"/>
    <w:rsid w:val="0026016E"/>
    <w:rsid w:val="00266189"/>
    <w:rsid w:val="0027459F"/>
    <w:rsid w:val="0027674A"/>
    <w:rsid w:val="00276B8C"/>
    <w:rsid w:val="00277EA5"/>
    <w:rsid w:val="002809B3"/>
    <w:rsid w:val="002861D3"/>
    <w:rsid w:val="002963B5"/>
    <w:rsid w:val="002A3ED7"/>
    <w:rsid w:val="002A5ED9"/>
    <w:rsid w:val="002A7139"/>
    <w:rsid w:val="002B0FBE"/>
    <w:rsid w:val="002B6F3B"/>
    <w:rsid w:val="002C0081"/>
    <w:rsid w:val="002C7360"/>
    <w:rsid w:val="002D6D2D"/>
    <w:rsid w:val="002E3834"/>
    <w:rsid w:val="002F15D0"/>
    <w:rsid w:val="003021B7"/>
    <w:rsid w:val="0030283D"/>
    <w:rsid w:val="003049E3"/>
    <w:rsid w:val="003147C9"/>
    <w:rsid w:val="0032051A"/>
    <w:rsid w:val="00331490"/>
    <w:rsid w:val="00353BD9"/>
    <w:rsid w:val="00357FBF"/>
    <w:rsid w:val="00361456"/>
    <w:rsid w:val="00373CC2"/>
    <w:rsid w:val="00377151"/>
    <w:rsid w:val="00393F7B"/>
    <w:rsid w:val="00396146"/>
    <w:rsid w:val="003973B8"/>
    <w:rsid w:val="003B1E38"/>
    <w:rsid w:val="003B7EE7"/>
    <w:rsid w:val="003C290C"/>
    <w:rsid w:val="003C4D41"/>
    <w:rsid w:val="003C54C0"/>
    <w:rsid w:val="003C6B61"/>
    <w:rsid w:val="003D3B98"/>
    <w:rsid w:val="003D760C"/>
    <w:rsid w:val="003E73F4"/>
    <w:rsid w:val="003F2818"/>
    <w:rsid w:val="003F690B"/>
    <w:rsid w:val="003F7553"/>
    <w:rsid w:val="004014E4"/>
    <w:rsid w:val="004047DF"/>
    <w:rsid w:val="00410CB7"/>
    <w:rsid w:val="00414CE4"/>
    <w:rsid w:val="00417291"/>
    <w:rsid w:val="00420A18"/>
    <w:rsid w:val="00420D1D"/>
    <w:rsid w:val="00425285"/>
    <w:rsid w:val="00433827"/>
    <w:rsid w:val="004351C3"/>
    <w:rsid w:val="00444AF2"/>
    <w:rsid w:val="004655BC"/>
    <w:rsid w:val="00472B19"/>
    <w:rsid w:val="00481C40"/>
    <w:rsid w:val="00481E0C"/>
    <w:rsid w:val="00482150"/>
    <w:rsid w:val="004A2354"/>
    <w:rsid w:val="004A263B"/>
    <w:rsid w:val="004B386E"/>
    <w:rsid w:val="004C0982"/>
    <w:rsid w:val="004D52A3"/>
    <w:rsid w:val="004E0C42"/>
    <w:rsid w:val="004E11BA"/>
    <w:rsid w:val="004E1D81"/>
    <w:rsid w:val="004F53B3"/>
    <w:rsid w:val="0050323B"/>
    <w:rsid w:val="00505528"/>
    <w:rsid w:val="00507C1B"/>
    <w:rsid w:val="0051219A"/>
    <w:rsid w:val="005249F1"/>
    <w:rsid w:val="00533A57"/>
    <w:rsid w:val="00534D1D"/>
    <w:rsid w:val="005454B2"/>
    <w:rsid w:val="00555BC3"/>
    <w:rsid w:val="0056208E"/>
    <w:rsid w:val="00563C54"/>
    <w:rsid w:val="00567DB5"/>
    <w:rsid w:val="00573A78"/>
    <w:rsid w:val="00574F5B"/>
    <w:rsid w:val="00583257"/>
    <w:rsid w:val="00597EEE"/>
    <w:rsid w:val="005A0203"/>
    <w:rsid w:val="005B17DE"/>
    <w:rsid w:val="005C226B"/>
    <w:rsid w:val="005C37E3"/>
    <w:rsid w:val="005E4FE0"/>
    <w:rsid w:val="005F1A2C"/>
    <w:rsid w:val="005F33D8"/>
    <w:rsid w:val="00607BFB"/>
    <w:rsid w:val="00614170"/>
    <w:rsid w:val="00616BAF"/>
    <w:rsid w:val="00622C29"/>
    <w:rsid w:val="00627113"/>
    <w:rsid w:val="00641D77"/>
    <w:rsid w:val="00641EC1"/>
    <w:rsid w:val="00645E80"/>
    <w:rsid w:val="006537C1"/>
    <w:rsid w:val="00656EAD"/>
    <w:rsid w:val="006570A4"/>
    <w:rsid w:val="0066051E"/>
    <w:rsid w:val="00661B7E"/>
    <w:rsid w:val="006707DE"/>
    <w:rsid w:val="00674EEB"/>
    <w:rsid w:val="0067630D"/>
    <w:rsid w:val="00677039"/>
    <w:rsid w:val="00684752"/>
    <w:rsid w:val="00686677"/>
    <w:rsid w:val="006901E5"/>
    <w:rsid w:val="00692394"/>
    <w:rsid w:val="006A25DC"/>
    <w:rsid w:val="006A32E0"/>
    <w:rsid w:val="006A388B"/>
    <w:rsid w:val="006A4C22"/>
    <w:rsid w:val="006B5CD3"/>
    <w:rsid w:val="006C396E"/>
    <w:rsid w:val="006D0C06"/>
    <w:rsid w:val="006D0C68"/>
    <w:rsid w:val="006D414F"/>
    <w:rsid w:val="006F73F2"/>
    <w:rsid w:val="0070789E"/>
    <w:rsid w:val="00725B07"/>
    <w:rsid w:val="00725F2A"/>
    <w:rsid w:val="00732C79"/>
    <w:rsid w:val="007376E3"/>
    <w:rsid w:val="00741041"/>
    <w:rsid w:val="00747A4A"/>
    <w:rsid w:val="00747CB4"/>
    <w:rsid w:val="0076285F"/>
    <w:rsid w:val="007754D6"/>
    <w:rsid w:val="00781D23"/>
    <w:rsid w:val="0078426B"/>
    <w:rsid w:val="00784467"/>
    <w:rsid w:val="00797E21"/>
    <w:rsid w:val="007A556E"/>
    <w:rsid w:val="007A5DD3"/>
    <w:rsid w:val="007B11F0"/>
    <w:rsid w:val="007B377B"/>
    <w:rsid w:val="007B7349"/>
    <w:rsid w:val="007B7742"/>
    <w:rsid w:val="007C0E83"/>
    <w:rsid w:val="007C21DA"/>
    <w:rsid w:val="007C39D7"/>
    <w:rsid w:val="007D6B16"/>
    <w:rsid w:val="007D79E5"/>
    <w:rsid w:val="007E2BF4"/>
    <w:rsid w:val="007F5CB1"/>
    <w:rsid w:val="00800AC2"/>
    <w:rsid w:val="00800BE2"/>
    <w:rsid w:val="00800C89"/>
    <w:rsid w:val="0080605D"/>
    <w:rsid w:val="00807D54"/>
    <w:rsid w:val="00823110"/>
    <w:rsid w:val="0082504B"/>
    <w:rsid w:val="00827212"/>
    <w:rsid w:val="00831A64"/>
    <w:rsid w:val="0084362B"/>
    <w:rsid w:val="008458AB"/>
    <w:rsid w:val="00851EDA"/>
    <w:rsid w:val="00861938"/>
    <w:rsid w:val="00862F22"/>
    <w:rsid w:val="00864A98"/>
    <w:rsid w:val="00867D14"/>
    <w:rsid w:val="008725CD"/>
    <w:rsid w:val="008755DC"/>
    <w:rsid w:val="0088265E"/>
    <w:rsid w:val="0088347B"/>
    <w:rsid w:val="00884DB2"/>
    <w:rsid w:val="008871B3"/>
    <w:rsid w:val="00887ABB"/>
    <w:rsid w:val="008A06F1"/>
    <w:rsid w:val="008A3CFA"/>
    <w:rsid w:val="008A6ABE"/>
    <w:rsid w:val="008C0F30"/>
    <w:rsid w:val="008C419A"/>
    <w:rsid w:val="008C7033"/>
    <w:rsid w:val="008C72A2"/>
    <w:rsid w:val="008D1E14"/>
    <w:rsid w:val="008D5F6E"/>
    <w:rsid w:val="008D77D8"/>
    <w:rsid w:val="008D7FF9"/>
    <w:rsid w:val="008E00BC"/>
    <w:rsid w:val="008E7C07"/>
    <w:rsid w:val="00903036"/>
    <w:rsid w:val="00907C9F"/>
    <w:rsid w:val="0091155C"/>
    <w:rsid w:val="00915D03"/>
    <w:rsid w:val="00924CE4"/>
    <w:rsid w:val="0093658D"/>
    <w:rsid w:val="009400E9"/>
    <w:rsid w:val="00942544"/>
    <w:rsid w:val="00943F96"/>
    <w:rsid w:val="00946123"/>
    <w:rsid w:val="00955148"/>
    <w:rsid w:val="00957C71"/>
    <w:rsid w:val="00965FA1"/>
    <w:rsid w:val="00974E10"/>
    <w:rsid w:val="0098698C"/>
    <w:rsid w:val="00987875"/>
    <w:rsid w:val="009920A5"/>
    <w:rsid w:val="00995551"/>
    <w:rsid w:val="00996A5B"/>
    <w:rsid w:val="009A5F25"/>
    <w:rsid w:val="009A71AA"/>
    <w:rsid w:val="009B34D9"/>
    <w:rsid w:val="009C0DC6"/>
    <w:rsid w:val="009C606A"/>
    <w:rsid w:val="009F0A92"/>
    <w:rsid w:val="009F621A"/>
    <w:rsid w:val="00A1782B"/>
    <w:rsid w:val="00A23BB4"/>
    <w:rsid w:val="00A252F1"/>
    <w:rsid w:val="00A308A4"/>
    <w:rsid w:val="00A34CDB"/>
    <w:rsid w:val="00A428AD"/>
    <w:rsid w:val="00A43900"/>
    <w:rsid w:val="00A519A8"/>
    <w:rsid w:val="00A522C7"/>
    <w:rsid w:val="00A62B0B"/>
    <w:rsid w:val="00A64D54"/>
    <w:rsid w:val="00A7632C"/>
    <w:rsid w:val="00A767B6"/>
    <w:rsid w:val="00A7768F"/>
    <w:rsid w:val="00A9239F"/>
    <w:rsid w:val="00A94939"/>
    <w:rsid w:val="00AA0AD3"/>
    <w:rsid w:val="00AA1225"/>
    <w:rsid w:val="00AA3127"/>
    <w:rsid w:val="00AB25B2"/>
    <w:rsid w:val="00AB2774"/>
    <w:rsid w:val="00AB5CBE"/>
    <w:rsid w:val="00AD1B4D"/>
    <w:rsid w:val="00AD22B5"/>
    <w:rsid w:val="00AD6AC8"/>
    <w:rsid w:val="00AE194C"/>
    <w:rsid w:val="00AE7DB8"/>
    <w:rsid w:val="00B045FA"/>
    <w:rsid w:val="00B14680"/>
    <w:rsid w:val="00B21E46"/>
    <w:rsid w:val="00B34CBD"/>
    <w:rsid w:val="00B404AA"/>
    <w:rsid w:val="00B51932"/>
    <w:rsid w:val="00B762D1"/>
    <w:rsid w:val="00B84176"/>
    <w:rsid w:val="00B908EE"/>
    <w:rsid w:val="00B94499"/>
    <w:rsid w:val="00BA3884"/>
    <w:rsid w:val="00BB0F2E"/>
    <w:rsid w:val="00BB4FAD"/>
    <w:rsid w:val="00BB5ABE"/>
    <w:rsid w:val="00BC6E08"/>
    <w:rsid w:val="00BE25E4"/>
    <w:rsid w:val="00BE290E"/>
    <w:rsid w:val="00BE3182"/>
    <w:rsid w:val="00BE5092"/>
    <w:rsid w:val="00BF3CF3"/>
    <w:rsid w:val="00C12A20"/>
    <w:rsid w:val="00C14263"/>
    <w:rsid w:val="00C17917"/>
    <w:rsid w:val="00C22C3E"/>
    <w:rsid w:val="00C23970"/>
    <w:rsid w:val="00C24C70"/>
    <w:rsid w:val="00C25E06"/>
    <w:rsid w:val="00C308E4"/>
    <w:rsid w:val="00C319E7"/>
    <w:rsid w:val="00C52E4A"/>
    <w:rsid w:val="00C532F8"/>
    <w:rsid w:val="00C67650"/>
    <w:rsid w:val="00C7582A"/>
    <w:rsid w:val="00C7590C"/>
    <w:rsid w:val="00C77B60"/>
    <w:rsid w:val="00C85CB0"/>
    <w:rsid w:val="00C91DDB"/>
    <w:rsid w:val="00C954E8"/>
    <w:rsid w:val="00C95717"/>
    <w:rsid w:val="00CB1A19"/>
    <w:rsid w:val="00CB787A"/>
    <w:rsid w:val="00CC13ED"/>
    <w:rsid w:val="00CC1F5E"/>
    <w:rsid w:val="00CF5622"/>
    <w:rsid w:val="00D017BF"/>
    <w:rsid w:val="00D07767"/>
    <w:rsid w:val="00D12580"/>
    <w:rsid w:val="00D168D0"/>
    <w:rsid w:val="00D2147D"/>
    <w:rsid w:val="00D253AD"/>
    <w:rsid w:val="00D26CB5"/>
    <w:rsid w:val="00D27BB3"/>
    <w:rsid w:val="00D6105A"/>
    <w:rsid w:val="00D61A24"/>
    <w:rsid w:val="00D779DF"/>
    <w:rsid w:val="00D84A55"/>
    <w:rsid w:val="00D911DC"/>
    <w:rsid w:val="00D95FEB"/>
    <w:rsid w:val="00DA3441"/>
    <w:rsid w:val="00DA4A22"/>
    <w:rsid w:val="00DB369E"/>
    <w:rsid w:val="00DD3FA0"/>
    <w:rsid w:val="00DD5A74"/>
    <w:rsid w:val="00DD61AA"/>
    <w:rsid w:val="00DD7700"/>
    <w:rsid w:val="00DE2771"/>
    <w:rsid w:val="00E00D7E"/>
    <w:rsid w:val="00E01D8E"/>
    <w:rsid w:val="00E01EA6"/>
    <w:rsid w:val="00E0438F"/>
    <w:rsid w:val="00E04C6F"/>
    <w:rsid w:val="00E1049E"/>
    <w:rsid w:val="00E21F07"/>
    <w:rsid w:val="00E2216B"/>
    <w:rsid w:val="00E329D3"/>
    <w:rsid w:val="00E450AB"/>
    <w:rsid w:val="00E51092"/>
    <w:rsid w:val="00E5406C"/>
    <w:rsid w:val="00E55DBE"/>
    <w:rsid w:val="00E6466B"/>
    <w:rsid w:val="00E67700"/>
    <w:rsid w:val="00E71648"/>
    <w:rsid w:val="00E71DFE"/>
    <w:rsid w:val="00E7590E"/>
    <w:rsid w:val="00E7781B"/>
    <w:rsid w:val="00E77913"/>
    <w:rsid w:val="00E803A8"/>
    <w:rsid w:val="00E81945"/>
    <w:rsid w:val="00E8281E"/>
    <w:rsid w:val="00E86451"/>
    <w:rsid w:val="00E86A02"/>
    <w:rsid w:val="00E95F0D"/>
    <w:rsid w:val="00EA080B"/>
    <w:rsid w:val="00EA3263"/>
    <w:rsid w:val="00EB1AAF"/>
    <w:rsid w:val="00EB22C0"/>
    <w:rsid w:val="00EC072D"/>
    <w:rsid w:val="00EC399A"/>
    <w:rsid w:val="00ED6D89"/>
    <w:rsid w:val="00EE3436"/>
    <w:rsid w:val="00EE63A6"/>
    <w:rsid w:val="00EF0C5F"/>
    <w:rsid w:val="00EF39AF"/>
    <w:rsid w:val="00EF4BB1"/>
    <w:rsid w:val="00F04271"/>
    <w:rsid w:val="00F04827"/>
    <w:rsid w:val="00F06613"/>
    <w:rsid w:val="00F17E66"/>
    <w:rsid w:val="00F27428"/>
    <w:rsid w:val="00F365D1"/>
    <w:rsid w:val="00F418B7"/>
    <w:rsid w:val="00F52ED8"/>
    <w:rsid w:val="00F542BF"/>
    <w:rsid w:val="00F55877"/>
    <w:rsid w:val="00F62E72"/>
    <w:rsid w:val="00F70DD6"/>
    <w:rsid w:val="00F71668"/>
    <w:rsid w:val="00F87C86"/>
    <w:rsid w:val="00F91961"/>
    <w:rsid w:val="00FA1CF4"/>
    <w:rsid w:val="00FA3CAD"/>
    <w:rsid w:val="00FC0085"/>
    <w:rsid w:val="00FE1442"/>
    <w:rsid w:val="00FE3271"/>
    <w:rsid w:val="00FE6D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7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6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6285F"/>
    <w:pPr>
      <w:ind w:left="720"/>
      <w:contextualSpacing/>
    </w:pPr>
  </w:style>
  <w:style w:type="paragraph" w:styleId="NoSpacing">
    <w:name w:val="No Spacing"/>
    <w:link w:val="NoSpacingChar"/>
    <w:uiPriority w:val="99"/>
    <w:qFormat/>
    <w:rsid w:val="0017504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7504B"/>
    <w:rPr>
      <w:rFonts w:eastAsiaTheme="minorEastAsia"/>
      <w:lang w:val="en-US" w:eastAsia="ja-JP"/>
    </w:rPr>
  </w:style>
  <w:style w:type="paragraph" w:styleId="BalloonText">
    <w:name w:val="Balloon Text"/>
    <w:basedOn w:val="Normal"/>
    <w:link w:val="BalloonTextChar"/>
    <w:uiPriority w:val="99"/>
    <w:semiHidden/>
    <w:unhideWhenUsed/>
    <w:rsid w:val="0017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4B"/>
    <w:rPr>
      <w:rFonts w:ascii="Tahoma" w:hAnsi="Tahoma" w:cs="Tahoma"/>
      <w:sz w:val="16"/>
      <w:szCs w:val="16"/>
    </w:rPr>
  </w:style>
  <w:style w:type="paragraph" w:styleId="Title">
    <w:name w:val="Title"/>
    <w:basedOn w:val="Normal"/>
    <w:next w:val="Normal"/>
    <w:link w:val="TitleChar"/>
    <w:uiPriority w:val="10"/>
    <w:qFormat/>
    <w:rsid w:val="00747C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47CB4"/>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47CB4"/>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747CB4"/>
    <w:rPr>
      <w:rFonts w:asciiTheme="majorHAnsi" w:eastAsiaTheme="majorEastAsia" w:hAnsiTheme="majorHAnsi" w:cstheme="majorBidi"/>
      <w:i/>
      <w:iCs/>
      <w:color w:val="4F81BD" w:themeColor="accent1"/>
      <w:spacing w:val="15"/>
      <w:sz w:val="24"/>
      <w:szCs w:val="24"/>
      <w:lang w:val="en-US" w:eastAsia="ja-JP"/>
    </w:rPr>
  </w:style>
  <w:style w:type="table" w:styleId="TableGrid">
    <w:name w:val="Table Grid"/>
    <w:basedOn w:val="TableNormal"/>
    <w:uiPriority w:val="59"/>
    <w:rsid w:val="00747CB4"/>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075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752E"/>
  </w:style>
  <w:style w:type="paragraph" w:styleId="Footer">
    <w:name w:val="footer"/>
    <w:basedOn w:val="Normal"/>
    <w:link w:val="FooterChar"/>
    <w:uiPriority w:val="99"/>
    <w:unhideWhenUsed/>
    <w:rsid w:val="000075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752E"/>
  </w:style>
  <w:style w:type="paragraph" w:customStyle="1" w:styleId="Default">
    <w:name w:val="Default"/>
    <w:rsid w:val="00B34CBD"/>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725F2A"/>
    <w:pPr>
      <w:spacing w:after="100"/>
    </w:pPr>
  </w:style>
  <w:style w:type="character" w:styleId="Hyperlink">
    <w:name w:val="Hyperlink"/>
    <w:basedOn w:val="DefaultParagraphFont"/>
    <w:uiPriority w:val="99"/>
    <w:unhideWhenUsed/>
    <w:rsid w:val="00725F2A"/>
    <w:rPr>
      <w:color w:val="0000FF" w:themeColor="hyperlink"/>
      <w:u w:val="single"/>
    </w:rPr>
  </w:style>
  <w:style w:type="character" w:customStyle="1" w:styleId="FontStyle11">
    <w:name w:val="Font Style11"/>
    <w:rsid w:val="00F62E72"/>
    <w:rPr>
      <w:rFonts w:ascii="Times New Roman" w:hAnsi="Times New Roman" w:cs="Times New Roman" w:hint="default"/>
      <w:b/>
      <w:bCs/>
      <w:i/>
      <w:iCs/>
      <w:sz w:val="26"/>
      <w:szCs w:val="26"/>
    </w:rPr>
  </w:style>
  <w:style w:type="paragraph" w:styleId="NormalWeb">
    <w:name w:val="Normal (Web)"/>
    <w:basedOn w:val="Normal"/>
    <w:uiPriority w:val="99"/>
    <w:semiHidden/>
    <w:unhideWhenUsed/>
    <w:rsid w:val="00A43900"/>
    <w:pPr>
      <w:spacing w:before="100" w:beforeAutospacing="1" w:after="100" w:afterAutospacing="1" w:line="240" w:lineRule="auto"/>
    </w:pPr>
    <w:rPr>
      <w:rFonts w:ascii="Times New Roman" w:eastAsiaTheme="minorEastAsia" w:hAnsi="Times New Roman" w:cs="Times New Roman"/>
      <w:sz w:val="24"/>
      <w:szCs w:val="24"/>
      <w:lang w:eastAsia="bg-BG"/>
    </w:rPr>
  </w:style>
  <w:style w:type="table" w:styleId="LightShading-Accent5">
    <w:name w:val="Light Shading Accent 5"/>
    <w:basedOn w:val="TableNormal"/>
    <w:uiPriority w:val="60"/>
    <w:rsid w:val="00A4390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1">
    <w:name w:val="Medium Shading 1 Accent 1"/>
    <w:basedOn w:val="TableNormal"/>
    <w:uiPriority w:val="63"/>
    <w:rsid w:val="00FC008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C1791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4FE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7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6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6285F"/>
    <w:pPr>
      <w:ind w:left="720"/>
      <w:contextualSpacing/>
    </w:pPr>
  </w:style>
  <w:style w:type="paragraph" w:styleId="NoSpacing">
    <w:name w:val="No Spacing"/>
    <w:link w:val="NoSpacingChar"/>
    <w:uiPriority w:val="99"/>
    <w:qFormat/>
    <w:rsid w:val="0017504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7504B"/>
    <w:rPr>
      <w:rFonts w:eastAsiaTheme="minorEastAsia"/>
      <w:lang w:val="en-US" w:eastAsia="ja-JP"/>
    </w:rPr>
  </w:style>
  <w:style w:type="paragraph" w:styleId="BalloonText">
    <w:name w:val="Balloon Text"/>
    <w:basedOn w:val="Normal"/>
    <w:link w:val="BalloonTextChar"/>
    <w:uiPriority w:val="99"/>
    <w:semiHidden/>
    <w:unhideWhenUsed/>
    <w:rsid w:val="0017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4B"/>
    <w:rPr>
      <w:rFonts w:ascii="Tahoma" w:hAnsi="Tahoma" w:cs="Tahoma"/>
      <w:sz w:val="16"/>
      <w:szCs w:val="16"/>
    </w:rPr>
  </w:style>
  <w:style w:type="paragraph" w:styleId="Title">
    <w:name w:val="Title"/>
    <w:basedOn w:val="Normal"/>
    <w:next w:val="Normal"/>
    <w:link w:val="TitleChar"/>
    <w:uiPriority w:val="10"/>
    <w:qFormat/>
    <w:rsid w:val="00747C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47CB4"/>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47CB4"/>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747CB4"/>
    <w:rPr>
      <w:rFonts w:asciiTheme="majorHAnsi" w:eastAsiaTheme="majorEastAsia" w:hAnsiTheme="majorHAnsi" w:cstheme="majorBidi"/>
      <w:i/>
      <w:iCs/>
      <w:color w:val="4F81BD" w:themeColor="accent1"/>
      <w:spacing w:val="15"/>
      <w:sz w:val="24"/>
      <w:szCs w:val="24"/>
      <w:lang w:val="en-US" w:eastAsia="ja-JP"/>
    </w:rPr>
  </w:style>
  <w:style w:type="table" w:styleId="TableGrid">
    <w:name w:val="Table Grid"/>
    <w:basedOn w:val="TableNormal"/>
    <w:uiPriority w:val="59"/>
    <w:rsid w:val="00747CB4"/>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075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752E"/>
  </w:style>
  <w:style w:type="paragraph" w:styleId="Footer">
    <w:name w:val="footer"/>
    <w:basedOn w:val="Normal"/>
    <w:link w:val="FooterChar"/>
    <w:uiPriority w:val="99"/>
    <w:unhideWhenUsed/>
    <w:rsid w:val="000075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752E"/>
  </w:style>
  <w:style w:type="paragraph" w:customStyle="1" w:styleId="Default">
    <w:name w:val="Default"/>
    <w:rsid w:val="00B34CBD"/>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725F2A"/>
    <w:pPr>
      <w:spacing w:after="100"/>
    </w:pPr>
  </w:style>
  <w:style w:type="character" w:styleId="Hyperlink">
    <w:name w:val="Hyperlink"/>
    <w:basedOn w:val="DefaultParagraphFont"/>
    <w:uiPriority w:val="99"/>
    <w:unhideWhenUsed/>
    <w:rsid w:val="00725F2A"/>
    <w:rPr>
      <w:color w:val="0000FF" w:themeColor="hyperlink"/>
      <w:u w:val="single"/>
    </w:rPr>
  </w:style>
  <w:style w:type="character" w:customStyle="1" w:styleId="FontStyle11">
    <w:name w:val="Font Style11"/>
    <w:rsid w:val="00F62E72"/>
    <w:rPr>
      <w:rFonts w:ascii="Times New Roman" w:hAnsi="Times New Roman" w:cs="Times New Roman" w:hint="default"/>
      <w:b/>
      <w:bCs/>
      <w:i/>
      <w:iCs/>
      <w:sz w:val="26"/>
      <w:szCs w:val="26"/>
    </w:rPr>
  </w:style>
  <w:style w:type="paragraph" w:styleId="NormalWeb">
    <w:name w:val="Normal (Web)"/>
    <w:basedOn w:val="Normal"/>
    <w:uiPriority w:val="99"/>
    <w:semiHidden/>
    <w:unhideWhenUsed/>
    <w:rsid w:val="00A43900"/>
    <w:pPr>
      <w:spacing w:before="100" w:beforeAutospacing="1" w:after="100" w:afterAutospacing="1" w:line="240" w:lineRule="auto"/>
    </w:pPr>
    <w:rPr>
      <w:rFonts w:ascii="Times New Roman" w:eastAsiaTheme="minorEastAsia" w:hAnsi="Times New Roman" w:cs="Times New Roman"/>
      <w:sz w:val="24"/>
      <w:szCs w:val="24"/>
      <w:lang w:eastAsia="bg-BG"/>
    </w:rPr>
  </w:style>
  <w:style w:type="table" w:styleId="LightShading-Accent5">
    <w:name w:val="Light Shading Accent 5"/>
    <w:basedOn w:val="TableNormal"/>
    <w:uiPriority w:val="60"/>
    <w:rsid w:val="00A4390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1">
    <w:name w:val="Medium Shading 1 Accent 1"/>
    <w:basedOn w:val="TableNormal"/>
    <w:uiPriority w:val="63"/>
    <w:rsid w:val="00FC008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C1791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4FE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numbering" Target="numbering.xml"/><Relationship Id="rId21" Type="http://schemas.openxmlformats.org/officeDocument/2006/relationships/chart" Target="charts/chart10.xm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chart" Target="charts/chart13.xml"/><Relationship Id="rId32" Type="http://schemas.openxmlformats.org/officeDocument/2006/relationships/chart" Target="charts/chart21.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51;&#1086;&#1074;&#1077;&#1095;-&#1087;&#1086;&#1082;&#1072;&#1079;&#1072;&#1090;&#1077;&#1083;&#108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51;&#1086;&#1074;&#1077;&#1095;-&#1087;&#1086;&#1082;&#1072;&#1079;&#1072;&#1090;&#1077;&#1083;&#108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45;&#1092;&#1080;&#1082;&#1072;&#1089;&#1085;&#1086;&#1089;&#1090;%20&#1080;%20&#1077;&#1092;&#1077;&#1082;&#1090;&#1080;&#1074;&#1085;&#1086;&#1089;&#1090;.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92.168.40.7\geographica\MO_OSR_Lovech\&#1048;&#1079;&#1087;&#1098;&#1083;&#1085;&#1077;&#1085;&#1080;&#1077;\&#1060;&#1080;&#1085;&#1072;&#1085;&#1089;&#1080;&#1088;&#1072;&#1085;&#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Arhiv%20Eva\&#1052;&#1054;_&#1051;&#1086;&#1074;&#1077;&#1095;\&#1051;&#1086;&#1074;&#1077;&#1095;-&#1087;&#1086;&#1082;&#1072;&#1079;&#1072;&#1090;&#1077;&#1083;&#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Раждаемост</c:v>
          </c:tx>
          <c:dLbls>
            <c:dLblPos val="t"/>
            <c:showLegendKey val="0"/>
            <c:showVal val="1"/>
            <c:showCatName val="0"/>
            <c:showSerName val="0"/>
            <c:showPercent val="0"/>
            <c:showBubbleSize val="0"/>
            <c:showLeaderLines val="0"/>
          </c:dLbls>
          <c:cat>
            <c:numRef>
              <c:f>'[Ловеч-показатели.xlsx]Демографски показатели'!$A$28:$A$30</c:f>
              <c:numCache>
                <c:formatCode>General</c:formatCode>
                <c:ptCount val="3"/>
                <c:pt idx="0">
                  <c:v>2014</c:v>
                </c:pt>
                <c:pt idx="1">
                  <c:v>2015</c:v>
                </c:pt>
                <c:pt idx="2">
                  <c:v>2016</c:v>
                </c:pt>
              </c:numCache>
            </c:numRef>
          </c:cat>
          <c:val>
            <c:numRef>
              <c:f>'[Ловеч-показатели.xlsx]Демографски показатели'!$L$22:$L$24</c:f>
              <c:numCache>
                <c:formatCode>0.0</c:formatCode>
                <c:ptCount val="3"/>
                <c:pt idx="0">
                  <c:v>7.999221049635616</c:v>
                </c:pt>
                <c:pt idx="1">
                  <c:v>8.2285749051280312</c:v>
                </c:pt>
                <c:pt idx="2">
                  <c:v>7.4600300258469927</c:v>
                </c:pt>
              </c:numCache>
            </c:numRef>
          </c:val>
          <c:smooth val="0"/>
        </c:ser>
        <c:ser>
          <c:idx val="1"/>
          <c:order val="1"/>
          <c:tx>
            <c:v>Смъртност</c:v>
          </c:tx>
          <c:dLbls>
            <c:dLbl>
              <c:idx val="0"/>
              <c:layout>
                <c:manualLayout>
                  <c:x val="-5.1020997375328087E-2"/>
                  <c:y val="-4.6770924467774859E-2"/>
                </c:manualLayout>
              </c:layout>
              <c:dLblPos val="r"/>
              <c:showLegendKey val="0"/>
              <c:showVal val="1"/>
              <c:showCatName val="0"/>
              <c:showSerName val="0"/>
              <c:showPercent val="0"/>
              <c:showBubbleSize val="0"/>
            </c:dLbl>
            <c:dLbl>
              <c:idx val="1"/>
              <c:layout>
                <c:manualLayout>
                  <c:x val="-5.1020997375328184E-2"/>
                  <c:y val="-4.677092446777488E-2"/>
                </c:manualLayout>
              </c:layout>
              <c:dLblPos val="r"/>
              <c:showLegendKey val="0"/>
              <c:showVal val="1"/>
              <c:showCatName val="0"/>
              <c:showSerName val="0"/>
              <c:showPercent val="0"/>
              <c:showBubbleSize val="0"/>
            </c:dLbl>
            <c:dLbl>
              <c:idx val="2"/>
              <c:layout>
                <c:manualLayout>
                  <c:x val="-5.1020997375328087E-2"/>
                  <c:y val="-5.1400554097404488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'[Ловеч-показатели.xlsx]Демографски показатели'!$A$28:$A$30</c:f>
              <c:numCache>
                <c:formatCode>General</c:formatCode>
                <c:ptCount val="3"/>
                <c:pt idx="0">
                  <c:v>2014</c:v>
                </c:pt>
                <c:pt idx="1">
                  <c:v>2015</c:v>
                </c:pt>
                <c:pt idx="2">
                  <c:v>2016</c:v>
                </c:pt>
              </c:numCache>
            </c:numRef>
          </c:cat>
          <c:val>
            <c:numRef>
              <c:f>'[Ловеч-показатели.xlsx]Демографски показатели'!$N$22:$N$24</c:f>
              <c:numCache>
                <c:formatCode>0.0</c:formatCode>
                <c:ptCount val="3"/>
                <c:pt idx="0">
                  <c:v>19.249061889104432</c:v>
                </c:pt>
                <c:pt idx="1">
                  <c:v>19.331827549755502</c:v>
                </c:pt>
                <c:pt idx="2">
                  <c:v>19.423937100493724</c:v>
                </c:pt>
              </c:numCache>
            </c:numRef>
          </c:val>
          <c:smooth val="0"/>
        </c:ser>
        <c:ser>
          <c:idx val="2"/>
          <c:order val="2"/>
          <c:tx>
            <c:v>Естествен прираст</c:v>
          </c:tx>
          <c:dLbls>
            <c:dLblPos val="t"/>
            <c:showLegendKey val="0"/>
            <c:showVal val="1"/>
            <c:showCatName val="0"/>
            <c:showSerName val="0"/>
            <c:showPercent val="0"/>
            <c:showBubbleSize val="0"/>
            <c:showLeaderLines val="0"/>
          </c:dLbls>
          <c:cat>
            <c:numRef>
              <c:f>'[Ловеч-показатели.xlsx]Демографски показатели'!$A$28:$A$30</c:f>
              <c:numCache>
                <c:formatCode>General</c:formatCode>
                <c:ptCount val="3"/>
                <c:pt idx="0">
                  <c:v>2014</c:v>
                </c:pt>
                <c:pt idx="1">
                  <c:v>2015</c:v>
                </c:pt>
                <c:pt idx="2">
                  <c:v>2016</c:v>
                </c:pt>
              </c:numCache>
            </c:numRef>
          </c:cat>
          <c:val>
            <c:numRef>
              <c:f>'[Ловеч-показатели.xlsx]Демографски показатели'!$P$22:$P$24</c:f>
              <c:numCache>
                <c:formatCode>0.0</c:formatCode>
                <c:ptCount val="3"/>
                <c:pt idx="0">
                  <c:v>-11.249840839468817</c:v>
                </c:pt>
                <c:pt idx="1">
                  <c:v>-11.103252644627471</c:v>
                </c:pt>
                <c:pt idx="2">
                  <c:v>-11.963907074646732</c:v>
                </c:pt>
              </c:numCache>
            </c:numRef>
          </c:val>
          <c:smooth val="0"/>
        </c:ser>
        <c:dLbls>
          <c:showLegendKey val="0"/>
          <c:showVal val="0"/>
          <c:showCatName val="0"/>
          <c:showSerName val="0"/>
          <c:showPercent val="0"/>
          <c:showBubbleSize val="0"/>
        </c:dLbls>
        <c:marker val="1"/>
        <c:smooth val="0"/>
        <c:axId val="146047360"/>
        <c:axId val="146048896"/>
      </c:lineChart>
      <c:catAx>
        <c:axId val="146047360"/>
        <c:scaling>
          <c:orientation val="minMax"/>
        </c:scaling>
        <c:delete val="0"/>
        <c:axPos val="b"/>
        <c:numFmt formatCode="General" sourceLinked="1"/>
        <c:majorTickMark val="none"/>
        <c:minorTickMark val="none"/>
        <c:tickLblPos val="high"/>
        <c:txPr>
          <a:bodyPr/>
          <a:lstStyle/>
          <a:p>
            <a:pPr>
              <a:defRPr b="1"/>
            </a:pPr>
            <a:endParaRPr lang="bg-BG"/>
          </a:p>
        </c:txPr>
        <c:crossAx val="146048896"/>
        <c:crosses val="autoZero"/>
        <c:auto val="1"/>
        <c:lblAlgn val="ctr"/>
        <c:lblOffset val="100"/>
        <c:noMultiLvlLbl val="0"/>
      </c:catAx>
      <c:valAx>
        <c:axId val="146048896"/>
        <c:scaling>
          <c:orientation val="minMax"/>
        </c:scaling>
        <c:delete val="0"/>
        <c:axPos val="l"/>
        <c:majorGridlines/>
        <c:numFmt formatCode="0.0" sourceLinked="1"/>
        <c:majorTickMark val="none"/>
        <c:minorTickMark val="none"/>
        <c:tickLblPos val="nextTo"/>
        <c:spPr>
          <a:ln w="9525">
            <a:noFill/>
          </a:ln>
        </c:spPr>
        <c:crossAx val="146047360"/>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в театрите</c:v>
          </c:tx>
          <c:cat>
            <c:numRef>
              <c:f>' културни дейности'!$D$2:$F$2</c:f>
              <c:numCache>
                <c:formatCode>General</c:formatCode>
                <c:ptCount val="3"/>
                <c:pt idx="0">
                  <c:v>2014</c:v>
                </c:pt>
                <c:pt idx="1">
                  <c:v>2015</c:v>
                </c:pt>
                <c:pt idx="2">
                  <c:v>2016</c:v>
                </c:pt>
              </c:numCache>
            </c:numRef>
          </c:cat>
          <c:val>
            <c:numRef>
              <c:f>' културни дейности'!$D$3:$F$3</c:f>
              <c:numCache>
                <c:formatCode>#,##0</c:formatCode>
                <c:ptCount val="3"/>
                <c:pt idx="0">
                  <c:v>124.35152289923199</c:v>
                </c:pt>
                <c:pt idx="1">
                  <c:v>118.797310249579</c:v>
                </c:pt>
                <c:pt idx="2">
                  <c:v>100.85342231939092</c:v>
                </c:pt>
              </c:numCache>
            </c:numRef>
          </c:val>
          <c:smooth val="0"/>
        </c:ser>
        <c:ser>
          <c:idx val="1"/>
          <c:order val="1"/>
          <c:tx>
            <c:v>в музеите</c:v>
          </c:tx>
          <c:cat>
            <c:numRef>
              <c:f>' културни дейности'!$D$2:$F$2</c:f>
              <c:numCache>
                <c:formatCode>General</c:formatCode>
                <c:ptCount val="3"/>
                <c:pt idx="0">
                  <c:v>2014</c:v>
                </c:pt>
                <c:pt idx="1">
                  <c:v>2015</c:v>
                </c:pt>
                <c:pt idx="2">
                  <c:v>2016</c:v>
                </c:pt>
              </c:numCache>
            </c:numRef>
          </c:cat>
          <c:val>
            <c:numRef>
              <c:f>' културни дейности'!$D$4:$F$4</c:f>
              <c:numCache>
                <c:formatCode>#,##0</c:formatCode>
                <c:ptCount val="3"/>
                <c:pt idx="0">
                  <c:v>856.74787804914297</c:v>
                </c:pt>
                <c:pt idx="1">
                  <c:v>954.96705734964496</c:v>
                </c:pt>
                <c:pt idx="2">
                  <c:v>804.87121953090548</c:v>
                </c:pt>
              </c:numCache>
            </c:numRef>
          </c:val>
          <c:smooth val="0"/>
        </c:ser>
        <c:ser>
          <c:idx val="2"/>
          <c:order val="2"/>
          <c:tx>
            <c:v>в библиотеките</c:v>
          </c:tx>
          <c:cat>
            <c:numRef>
              <c:f>' културни дейности'!$D$2:$F$2</c:f>
              <c:numCache>
                <c:formatCode>General</c:formatCode>
                <c:ptCount val="3"/>
                <c:pt idx="0">
                  <c:v>2014</c:v>
                </c:pt>
                <c:pt idx="1">
                  <c:v>2015</c:v>
                </c:pt>
                <c:pt idx="2">
                  <c:v>2016</c:v>
                </c:pt>
              </c:numCache>
            </c:numRef>
          </c:cat>
          <c:val>
            <c:numRef>
              <c:f>' културни дейности'!$D$5:$F$5</c:f>
              <c:numCache>
                <c:formatCode>#,##0</c:formatCode>
                <c:ptCount val="3"/>
                <c:pt idx="0">
                  <c:v>436.56444636035263</c:v>
                </c:pt>
                <c:pt idx="1">
                  <c:v>386.255405537988</c:v>
                </c:pt>
                <c:pt idx="2">
                  <c:v>401.38081813474486</c:v>
                </c:pt>
              </c:numCache>
            </c:numRef>
          </c:val>
          <c:smooth val="0"/>
        </c:ser>
        <c:ser>
          <c:idx val="3"/>
          <c:order val="3"/>
          <c:tx>
            <c:v>в кината</c:v>
          </c:tx>
          <c:cat>
            <c:numRef>
              <c:f>' културни дейности'!$D$2:$F$2</c:f>
              <c:numCache>
                <c:formatCode>General</c:formatCode>
                <c:ptCount val="3"/>
                <c:pt idx="0">
                  <c:v>2014</c:v>
                </c:pt>
                <c:pt idx="1">
                  <c:v>2015</c:v>
                </c:pt>
                <c:pt idx="2">
                  <c:v>2016</c:v>
                </c:pt>
              </c:numCache>
            </c:numRef>
          </c:cat>
          <c:val>
            <c:numRef>
              <c:f>' културни дейности'!$D$6:$F$6</c:f>
              <c:numCache>
                <c:formatCode>#,##0</c:formatCode>
                <c:ptCount val="3"/>
                <c:pt idx="0">
                  <c:v>0</c:v>
                </c:pt>
                <c:pt idx="1">
                  <c:v>0</c:v>
                </c:pt>
                <c:pt idx="2">
                  <c:v>150.10260245862341</c:v>
                </c:pt>
              </c:numCache>
            </c:numRef>
          </c:val>
          <c:smooth val="0"/>
        </c:ser>
        <c:dLbls>
          <c:showLegendKey val="0"/>
          <c:showVal val="0"/>
          <c:showCatName val="0"/>
          <c:showSerName val="0"/>
          <c:showPercent val="0"/>
          <c:showBubbleSize val="0"/>
        </c:dLbls>
        <c:marker val="1"/>
        <c:smooth val="0"/>
        <c:axId val="184361344"/>
        <c:axId val="184362880"/>
      </c:lineChart>
      <c:catAx>
        <c:axId val="184361344"/>
        <c:scaling>
          <c:orientation val="minMax"/>
        </c:scaling>
        <c:delete val="0"/>
        <c:axPos val="b"/>
        <c:numFmt formatCode="General" sourceLinked="1"/>
        <c:majorTickMark val="none"/>
        <c:minorTickMark val="none"/>
        <c:tickLblPos val="nextTo"/>
        <c:crossAx val="184362880"/>
        <c:crosses val="autoZero"/>
        <c:auto val="1"/>
        <c:lblAlgn val="ctr"/>
        <c:lblOffset val="100"/>
        <c:noMultiLvlLbl val="0"/>
      </c:catAx>
      <c:valAx>
        <c:axId val="184362880"/>
        <c:scaling>
          <c:orientation val="minMax"/>
        </c:scaling>
        <c:delete val="0"/>
        <c:axPos val="l"/>
        <c:majorGridlines/>
        <c:numFmt formatCode="#,##0" sourceLinked="1"/>
        <c:majorTickMark val="none"/>
        <c:minorTickMark val="none"/>
        <c:tickLblPos val="nextTo"/>
        <c:spPr>
          <a:ln w="9525">
            <a:noFill/>
          </a:ln>
        </c:spPr>
        <c:crossAx val="184361344"/>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Разпределение на финансовите ресурси по приоритети</a:t>
            </a: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f-ZA"/>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ефективност.xlsx]Общо'!$A$2:$A$5</c:f>
              <c:strCache>
                <c:ptCount val="4"/>
                <c:pt idx="0">
                  <c:v>ПРИОРИТЕТ 1 Развитие и модернизация на инфраструктурата, създаваща условия за устойчиво развитие </c:v>
                </c:pt>
                <c:pt idx="1">
                  <c:v>ПРИОРИТЕТ 2  Развитие на човешкия капитал и местните общности</c:v>
                </c:pt>
                <c:pt idx="2">
                  <c:v>ПРИОРИТЕТ 3  Повишаване на конкурентоспособността на местната икономика за постигане на икономически растеж и заетост</c:v>
                </c:pt>
                <c:pt idx="3">
                  <c:v>ПРИОРИТЕТ 4  Устойчиво развитие на конкурентоспособно селско и горско стопанство</c:v>
                </c:pt>
              </c:strCache>
            </c:strRef>
          </c:cat>
          <c:val>
            <c:numRef>
              <c:f>'[Ефикасност и ефективност.xlsx]Общо'!$B$2:$B$5</c:f>
              <c:numCache>
                <c:formatCode>#,##0</c:formatCode>
                <c:ptCount val="4"/>
                <c:pt idx="0">
                  <c:v>91222013.359999999</c:v>
                </c:pt>
                <c:pt idx="1">
                  <c:v>3794982.46796</c:v>
                </c:pt>
                <c:pt idx="2">
                  <c:v>8922992.0199999996</c:v>
                </c:pt>
                <c:pt idx="3">
                  <c:v>242548.84999999998</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405592599975464E-2"/>
          <c:y val="0.66393443648430162"/>
          <c:w val="0.87188814800049075"/>
          <c:h val="0.2883992328348038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Приоритет 1: </a:t>
            </a: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Разпределение на финансови ресурси по общини</a:t>
            </a:r>
            <a:endParaRPr lang="af-ZA" sz="18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ефективност.xlsx]П1'!$B$105:$B$112</c:f>
              <c:strCache>
                <c:ptCount val="8"/>
                <c:pt idx="0">
                  <c:v>Община Априлци</c:v>
                </c:pt>
                <c:pt idx="1">
                  <c:v>Община Летница</c:v>
                </c:pt>
                <c:pt idx="2">
                  <c:v>Община Ловеч</c:v>
                </c:pt>
                <c:pt idx="3">
                  <c:v>Община Луковит</c:v>
                </c:pt>
                <c:pt idx="4">
                  <c:v>Община Тетевен</c:v>
                </c:pt>
                <c:pt idx="5">
                  <c:v>Община Троян</c:v>
                </c:pt>
                <c:pt idx="6">
                  <c:v>Община Угърчин</c:v>
                </c:pt>
                <c:pt idx="7">
                  <c:v>Община Ябланица</c:v>
                </c:pt>
              </c:strCache>
            </c:strRef>
          </c:cat>
          <c:val>
            <c:numRef>
              <c:f>'[Ефикасност и ефективност.xlsx]П1'!$C$105:$C$112</c:f>
              <c:numCache>
                <c:formatCode>#,##0</c:formatCode>
                <c:ptCount val="8"/>
                <c:pt idx="0">
                  <c:v>409229</c:v>
                </c:pt>
                <c:pt idx="1">
                  <c:v>1425428</c:v>
                </c:pt>
                <c:pt idx="2">
                  <c:v>12520363</c:v>
                </c:pt>
                <c:pt idx="3">
                  <c:v>35222762</c:v>
                </c:pt>
                <c:pt idx="4">
                  <c:v>1428081</c:v>
                </c:pt>
                <c:pt idx="5">
                  <c:v>26763270</c:v>
                </c:pt>
                <c:pt idx="6">
                  <c:v>9683311</c:v>
                </c:pt>
                <c:pt idx="7">
                  <c:v>3769570</c:v>
                </c:pt>
              </c:numCache>
            </c:numRef>
          </c:val>
        </c:ser>
        <c:dLbls>
          <c:showLegendKey val="0"/>
          <c:showVal val="0"/>
          <c:showCatName val="0"/>
          <c:showSerName val="0"/>
          <c:showPercent val="0"/>
          <c:showBubbleSize val="0"/>
          <c:showLeaderLines val="1"/>
        </c:dLbls>
        <c:firstSliceAng val="9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Приоритет 1: </a:t>
            </a:r>
          </a:p>
          <a:p>
            <a:pPr algn="ct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Разпределение</a:t>
            </a:r>
            <a:r>
              <a:rPr lang="bg-BG" sz="1800" baseline="0"/>
              <a:t> на финансовите ресурси по години</a:t>
            </a:r>
            <a:endParaRPr lang="af-ZA" sz="18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'[Ефикасност и ефективност.xlsx]П1'!$B$116:$B$118</c:f>
              <c:numCache>
                <c:formatCode>General</c:formatCode>
                <c:ptCount val="3"/>
                <c:pt idx="0">
                  <c:v>2014</c:v>
                </c:pt>
                <c:pt idx="1">
                  <c:v>2015</c:v>
                </c:pt>
                <c:pt idx="2">
                  <c:v>2016</c:v>
                </c:pt>
              </c:numCache>
            </c:numRef>
          </c:cat>
          <c:val>
            <c:numRef>
              <c:f>'[Ефикасност и ефективност.xlsx]П1'!$C$116:$C$118</c:f>
              <c:numCache>
                <c:formatCode>#,##0</c:formatCode>
                <c:ptCount val="3"/>
                <c:pt idx="0">
                  <c:v>65399726</c:v>
                </c:pt>
                <c:pt idx="1">
                  <c:v>25785413</c:v>
                </c:pt>
                <c:pt idx="2">
                  <c:v>36875</c:v>
                </c:pt>
              </c:numCache>
            </c:numRef>
          </c:val>
        </c:ser>
        <c:dLbls>
          <c:showLegendKey val="0"/>
          <c:showVal val="0"/>
          <c:showCatName val="0"/>
          <c:showSerName val="0"/>
          <c:showPercent val="0"/>
          <c:showBubbleSize val="0"/>
          <c:showLeaderLines val="1"/>
        </c:dLbls>
        <c:firstSliceAng val="11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Приоритет 1: Разпределение на финансовите ресурси по източник</a:t>
            </a: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ефективност.xlsx]П1'!$B$135:$B$141</c:f>
              <c:strCache>
                <c:ptCount val="7"/>
                <c:pt idx="0">
                  <c:v>Национален бюджет</c:v>
                </c:pt>
                <c:pt idx="1">
                  <c:v>Общински бюджет</c:v>
                </c:pt>
                <c:pt idx="2">
                  <c:v>ОПОС</c:v>
                </c:pt>
                <c:pt idx="3">
                  <c:v>ОПРКБИ</c:v>
                </c:pt>
                <c:pt idx="4">
                  <c:v>ОПРР</c:v>
                </c:pt>
                <c:pt idx="5">
                  <c:v>ПРСР</c:v>
                </c:pt>
                <c:pt idx="6">
                  <c:v>Други</c:v>
                </c:pt>
              </c:strCache>
            </c:strRef>
          </c:cat>
          <c:val>
            <c:numRef>
              <c:f>'[Ефикасност и ефективност.xlsx]П1'!$C$135:$C$141</c:f>
              <c:numCache>
                <c:formatCode>#,##0</c:formatCode>
                <c:ptCount val="7"/>
                <c:pt idx="0">
                  <c:v>25591079</c:v>
                </c:pt>
                <c:pt idx="1">
                  <c:v>1065653</c:v>
                </c:pt>
                <c:pt idx="2">
                  <c:v>34965592</c:v>
                </c:pt>
                <c:pt idx="3">
                  <c:v>1650694</c:v>
                </c:pt>
                <c:pt idx="4">
                  <c:v>10861720</c:v>
                </c:pt>
                <c:pt idx="5">
                  <c:v>16514794</c:v>
                </c:pt>
                <c:pt idx="6">
                  <c:v>572482</c:v>
                </c:pt>
              </c:numCache>
            </c:numRef>
          </c:val>
        </c:ser>
        <c:dLbls>
          <c:showLegendKey val="0"/>
          <c:showVal val="0"/>
          <c:showCatName val="0"/>
          <c:showSerName val="0"/>
          <c:showPercent val="0"/>
          <c:showBubbleSize val="0"/>
          <c:showLeaderLines val="1"/>
        </c:dLbls>
        <c:firstSliceAng val="4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Приоритет </a:t>
            </a:r>
            <a:r>
              <a:rPr lang="en-US" sz="1800" b="0" i="0" baseline="0">
                <a:effectLst/>
              </a:rPr>
              <a:t>2</a:t>
            </a:r>
            <a:r>
              <a:rPr lang="bg-BG" sz="1800" b="0" i="0" baseline="0">
                <a:effectLst/>
              </a:rPr>
              <a:t>: </a:t>
            </a:r>
            <a:endParaRPr lang="bg-BG">
              <a:effectLst/>
            </a:endParaRP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Разпределение на финансови ресурси по общини</a:t>
            </a:r>
            <a:endParaRPr lang="bg-BG">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ефективност.xlsx]П2'!$B$106:$B$114</c:f>
              <c:strCache>
                <c:ptCount val="9"/>
                <c:pt idx="0">
                  <c:v>Община Априлци</c:v>
                </c:pt>
                <c:pt idx="1">
                  <c:v>Община Летница</c:v>
                </c:pt>
                <c:pt idx="2">
                  <c:v>Община Ловеч</c:v>
                </c:pt>
                <c:pt idx="3">
                  <c:v>Община Луковит</c:v>
                </c:pt>
                <c:pt idx="4">
                  <c:v>Община Тетевен</c:v>
                </c:pt>
                <c:pt idx="5">
                  <c:v>Община Троян</c:v>
                </c:pt>
                <c:pt idx="6">
                  <c:v>Община Угърчин</c:v>
                </c:pt>
                <c:pt idx="7">
                  <c:v>Община Ябланица</c:v>
                </c:pt>
                <c:pt idx="8">
                  <c:v>Няколко общини</c:v>
                </c:pt>
              </c:strCache>
            </c:strRef>
          </c:cat>
          <c:val>
            <c:numRef>
              <c:f>'[Ефикасност и ефективност.xlsx]П2'!$C$106:$C$114</c:f>
              <c:numCache>
                <c:formatCode>#,##0</c:formatCode>
                <c:ptCount val="9"/>
                <c:pt idx="0">
                  <c:v>23201</c:v>
                </c:pt>
                <c:pt idx="1">
                  <c:v>99124</c:v>
                </c:pt>
                <c:pt idx="2">
                  <c:v>942120</c:v>
                </c:pt>
                <c:pt idx="3">
                  <c:v>1414114</c:v>
                </c:pt>
                <c:pt idx="4">
                  <c:v>104912</c:v>
                </c:pt>
                <c:pt idx="5">
                  <c:v>509824</c:v>
                </c:pt>
                <c:pt idx="6">
                  <c:v>93284</c:v>
                </c:pt>
                <c:pt idx="7">
                  <c:v>403871</c:v>
                </c:pt>
                <c:pt idx="8">
                  <c:v>204533</c:v>
                </c:pt>
              </c:numCache>
            </c:numRef>
          </c:val>
        </c:ser>
        <c:dLbls>
          <c:showLegendKey val="0"/>
          <c:showVal val="0"/>
          <c:showCatName val="0"/>
          <c:showSerName val="0"/>
          <c:showPercent val="0"/>
          <c:showBubbleSize val="0"/>
          <c:showLeaderLines val="1"/>
        </c:dLbls>
        <c:firstSliceAng val="14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Приоритет </a:t>
            </a:r>
            <a:r>
              <a:rPr lang="en-US" sz="1800"/>
              <a:t>2</a:t>
            </a:r>
            <a:r>
              <a:rPr lang="bg-BG" sz="1800"/>
              <a:t>: </a:t>
            </a: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Разпределение на финансовите ресурси по години</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'[Ефикасност и ефективност.xlsx]П2'!$B$135:$B$137</c:f>
              <c:numCache>
                <c:formatCode>General</c:formatCode>
                <c:ptCount val="3"/>
                <c:pt idx="0">
                  <c:v>2014</c:v>
                </c:pt>
                <c:pt idx="1">
                  <c:v>2015</c:v>
                </c:pt>
                <c:pt idx="2">
                  <c:v>2016</c:v>
                </c:pt>
              </c:numCache>
            </c:numRef>
          </c:cat>
          <c:val>
            <c:numRef>
              <c:f>'[Ефикасност и ефективност.xlsx]П2'!$C$135:$C$137</c:f>
              <c:numCache>
                <c:formatCode>#,##0</c:formatCode>
                <c:ptCount val="3"/>
                <c:pt idx="0">
                  <c:v>1937089</c:v>
                </c:pt>
                <c:pt idx="1">
                  <c:v>1841508</c:v>
                </c:pt>
                <c:pt idx="2">
                  <c:v>16385</c:v>
                </c:pt>
              </c:numCache>
            </c:numRef>
          </c:val>
        </c:ser>
        <c:dLbls>
          <c:showLegendKey val="0"/>
          <c:showVal val="0"/>
          <c:showCatName val="0"/>
          <c:showSerName val="0"/>
          <c:showPercent val="0"/>
          <c:showBubbleSize val="0"/>
          <c:showLeaderLines val="1"/>
        </c:dLbls>
        <c:firstSliceAng val="9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a:t>Приоритет 2: Разпределение на финансовите ресурси по източник</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bg2">
                  <a:lumMod val="50000"/>
                </a:schemeClr>
              </a:solidFill>
              <a:ln w="19050">
                <a:solidFill>
                  <a:schemeClr val="lt1"/>
                </a:solidFill>
              </a:ln>
              <a:effectLst/>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ефективност.xlsx]П2'!$B$143:$B$149</c:f>
              <c:strCache>
                <c:ptCount val="7"/>
                <c:pt idx="0">
                  <c:v>Национален бюджет</c:v>
                </c:pt>
                <c:pt idx="1">
                  <c:v>Общински бюджет</c:v>
                </c:pt>
                <c:pt idx="2">
                  <c:v>ОПАК</c:v>
                </c:pt>
                <c:pt idx="3">
                  <c:v>ОПРЧР</c:v>
                </c:pt>
                <c:pt idx="4">
                  <c:v>ПРСР</c:v>
                </c:pt>
                <c:pt idx="5">
                  <c:v>ФЕПНЛ</c:v>
                </c:pt>
                <c:pt idx="6">
                  <c:v>Други</c:v>
                </c:pt>
              </c:strCache>
            </c:strRef>
          </c:cat>
          <c:val>
            <c:numRef>
              <c:f>'[Ефикасност и ефективност.xlsx]П2'!$C$143:$C$149</c:f>
              <c:numCache>
                <c:formatCode>#,##0</c:formatCode>
                <c:ptCount val="7"/>
                <c:pt idx="0">
                  <c:v>551231</c:v>
                </c:pt>
                <c:pt idx="1">
                  <c:v>900</c:v>
                </c:pt>
                <c:pt idx="2">
                  <c:v>224430</c:v>
                </c:pt>
                <c:pt idx="3">
                  <c:v>2003442</c:v>
                </c:pt>
                <c:pt idx="4">
                  <c:v>484801</c:v>
                </c:pt>
                <c:pt idx="5">
                  <c:v>102561</c:v>
                </c:pt>
                <c:pt idx="6">
                  <c:v>427618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Приоритет </a:t>
            </a:r>
            <a:r>
              <a:rPr lang="en-US" sz="1800" b="0" i="0" baseline="0">
                <a:effectLst/>
              </a:rPr>
              <a:t>3</a:t>
            </a:r>
            <a:r>
              <a:rPr lang="bg-BG" sz="1800" b="0" i="0" baseline="0">
                <a:effectLst/>
              </a:rPr>
              <a:t>: </a:t>
            </a:r>
            <a:endParaRPr lang="bg-BG">
              <a:effectLst/>
            </a:endParaRP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Разпределение на финансови ресурси по общини</a:t>
            </a:r>
            <a:endParaRPr lang="bg-BG">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ефективност.xlsx]П3'!$B$79:$B$87</c:f>
              <c:strCache>
                <c:ptCount val="9"/>
                <c:pt idx="0">
                  <c:v>Община Априлци</c:v>
                </c:pt>
                <c:pt idx="1">
                  <c:v>Община Летница</c:v>
                </c:pt>
                <c:pt idx="2">
                  <c:v>Община Ловеч</c:v>
                </c:pt>
                <c:pt idx="3">
                  <c:v>Община Луковит</c:v>
                </c:pt>
                <c:pt idx="4">
                  <c:v>Община Тетевен</c:v>
                </c:pt>
                <c:pt idx="5">
                  <c:v>Община Троян</c:v>
                </c:pt>
                <c:pt idx="6">
                  <c:v>Община Угърчин</c:v>
                </c:pt>
                <c:pt idx="7">
                  <c:v>Община Ябланица</c:v>
                </c:pt>
                <c:pt idx="8">
                  <c:v>Област Ловеч</c:v>
                </c:pt>
              </c:strCache>
            </c:strRef>
          </c:cat>
          <c:val>
            <c:numRef>
              <c:f>'[Ефикасност и ефективност.xlsx]П3'!$C$79:$C$87</c:f>
              <c:numCache>
                <c:formatCode>#,##0</c:formatCode>
                <c:ptCount val="9"/>
                <c:pt idx="0">
                  <c:v>336030</c:v>
                </c:pt>
                <c:pt idx="1">
                  <c:v>510059</c:v>
                </c:pt>
                <c:pt idx="2">
                  <c:v>6817320</c:v>
                </c:pt>
                <c:pt idx="3">
                  <c:v>123700</c:v>
                </c:pt>
                <c:pt idx="4">
                  <c:v>124150</c:v>
                </c:pt>
                <c:pt idx="5">
                  <c:v>588166</c:v>
                </c:pt>
                <c:pt idx="6">
                  <c:v>57546</c:v>
                </c:pt>
                <c:pt idx="7">
                  <c:v>333623</c:v>
                </c:pt>
                <c:pt idx="8">
                  <c:v>32398</c:v>
                </c:pt>
              </c:numCache>
            </c:numRef>
          </c:val>
        </c:ser>
        <c:dLbls>
          <c:showLegendKey val="0"/>
          <c:showVal val="0"/>
          <c:showCatName val="0"/>
          <c:showSerName val="0"/>
          <c:showPercent val="0"/>
          <c:showBubbleSize val="0"/>
          <c:showLeaderLines val="1"/>
        </c:dLbls>
        <c:firstSliceAng val="110"/>
      </c:pieChart>
      <c:spPr>
        <a:noFill/>
        <a:ln>
          <a:noFill/>
        </a:ln>
        <a:effectLst/>
      </c:spPr>
    </c:plotArea>
    <c:legend>
      <c:legendPos val="b"/>
      <c:layout>
        <c:manualLayout>
          <c:xMode val="edge"/>
          <c:yMode val="edge"/>
          <c:x val="0.13134168792281245"/>
          <c:y val="0.86153547702329258"/>
          <c:w val="0.76360755609774134"/>
          <c:h val="0.1243052283102647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Приоритет </a:t>
            </a:r>
            <a:r>
              <a:rPr lang="en-US" sz="1800" b="0" i="0" baseline="0">
                <a:effectLst/>
              </a:rPr>
              <a:t>3</a:t>
            </a:r>
            <a:r>
              <a:rPr lang="bg-BG" sz="1800" b="0" i="0" baseline="0">
                <a:effectLst/>
              </a:rPr>
              <a:t>: </a:t>
            </a:r>
            <a:endParaRPr lang="bg-BG">
              <a:effectLst/>
            </a:endParaRP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Разпределение на финансовите ресурси по години</a:t>
            </a:r>
            <a:endParaRPr lang="bg-BG">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'[Ефикасност и ефективност.xlsx]П3'!$B$103:$B$105</c:f>
              <c:numCache>
                <c:formatCode>General</c:formatCode>
                <c:ptCount val="3"/>
                <c:pt idx="0">
                  <c:v>2014</c:v>
                </c:pt>
                <c:pt idx="1">
                  <c:v>2015</c:v>
                </c:pt>
                <c:pt idx="2">
                  <c:v>2016</c:v>
                </c:pt>
              </c:numCache>
            </c:numRef>
          </c:cat>
          <c:val>
            <c:numRef>
              <c:f>'[Ефикасност и ефективност.xlsx]П3'!$C$103:$C$105</c:f>
              <c:numCache>
                <c:formatCode>#,##0</c:formatCode>
                <c:ptCount val="3"/>
                <c:pt idx="0">
                  <c:v>4848980</c:v>
                </c:pt>
                <c:pt idx="1">
                  <c:v>4038656</c:v>
                </c:pt>
                <c:pt idx="2">
                  <c:v>35356</c:v>
                </c:pt>
              </c:numCache>
            </c:numRef>
          </c:val>
        </c:ser>
        <c:dLbls>
          <c:showLegendKey val="0"/>
          <c:showVal val="0"/>
          <c:showCatName val="0"/>
          <c:showSerName val="0"/>
          <c:showPercent val="0"/>
          <c:showBubbleSize val="0"/>
          <c:showLeaderLines val="1"/>
        </c:dLbls>
        <c:firstSliceAng val="10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8573928258968"/>
          <c:y val="0.12986876640419948"/>
          <c:w val="0.86785870516185482"/>
          <c:h val="0.70723571011956843"/>
        </c:manualLayout>
      </c:layout>
      <c:lineChart>
        <c:grouping val="standard"/>
        <c:varyColors val="0"/>
        <c:ser>
          <c:idx val="0"/>
          <c:order val="0"/>
          <c:tx>
            <c:strRef>
              <c:f>'[Ловеч-показатели.xlsx]Демографски показатели'!$B$26:$D$26</c:f>
              <c:strCache>
                <c:ptCount val="1"/>
                <c:pt idx="0">
                  <c:v>Заселени</c:v>
                </c:pt>
              </c:strCache>
            </c:strRef>
          </c:tx>
          <c:dLbls>
            <c:dLbl>
              <c:idx val="0"/>
              <c:layout>
                <c:manualLayout>
                  <c:x val="-1.3888888888888888E-2"/>
                  <c:y val="2.7777777777777776E-2"/>
                </c:manualLayout>
              </c:layout>
              <c:showLegendKey val="0"/>
              <c:showVal val="1"/>
              <c:showCatName val="0"/>
              <c:showSerName val="0"/>
              <c:showPercent val="0"/>
              <c:showBubbleSize val="0"/>
            </c:dLbl>
            <c:dLbl>
              <c:idx val="1"/>
              <c:layout>
                <c:manualLayout>
                  <c:x val="-1.388888888888899E-2"/>
                  <c:y val="3.2407407407407406E-2"/>
                </c:manualLayout>
              </c:layout>
              <c:showLegendKey val="0"/>
              <c:showVal val="1"/>
              <c:showCatName val="0"/>
              <c:showSerName val="0"/>
              <c:showPercent val="0"/>
              <c:showBubbleSize val="0"/>
            </c:dLbl>
            <c:dLbl>
              <c:idx val="2"/>
              <c:layout>
                <c:manualLayout>
                  <c:x val="-2.5000000000000001E-2"/>
                  <c:y val="1.851851851851851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'[Ловеч-показатели.xlsx]Демографски показатели'!$A$28:$A$30</c:f>
              <c:numCache>
                <c:formatCode>General</c:formatCode>
                <c:ptCount val="3"/>
                <c:pt idx="0">
                  <c:v>2014</c:v>
                </c:pt>
                <c:pt idx="1">
                  <c:v>2015</c:v>
                </c:pt>
                <c:pt idx="2">
                  <c:v>2016</c:v>
                </c:pt>
              </c:numCache>
            </c:numRef>
          </c:cat>
          <c:val>
            <c:numRef>
              <c:f>'[Ловеч-показатели.xlsx]Демографски показатели'!$L$28:$L$30</c:f>
              <c:numCache>
                <c:formatCode>0.0</c:formatCode>
                <c:ptCount val="3"/>
                <c:pt idx="0">
                  <c:v>15.736295342026621</c:v>
                </c:pt>
                <c:pt idx="1">
                  <c:v>18.5333059554501</c:v>
                </c:pt>
                <c:pt idx="2">
                  <c:v>16.614817910262961</c:v>
                </c:pt>
              </c:numCache>
            </c:numRef>
          </c:val>
          <c:smooth val="0"/>
        </c:ser>
        <c:ser>
          <c:idx val="1"/>
          <c:order val="1"/>
          <c:tx>
            <c:strRef>
              <c:f>'[Ловеч-показатели.xlsx]Демографски показатели'!$E$26:$G$26</c:f>
              <c:strCache>
                <c:ptCount val="1"/>
                <c:pt idx="0">
                  <c:v>Изселени</c:v>
                </c:pt>
              </c:strCache>
            </c:strRef>
          </c:tx>
          <c:dLbls>
            <c:dLbl>
              <c:idx val="1"/>
              <c:layout>
                <c:manualLayout>
                  <c:x val="-1.6666666666666666E-2"/>
                  <c:y val="9.2592592592592379E-3"/>
                </c:manualLayout>
              </c:layout>
              <c:showLegendKey val="0"/>
              <c:showVal val="1"/>
              <c:showCatName val="0"/>
              <c:showSerName val="0"/>
              <c:showPercent val="0"/>
              <c:showBubbleSize val="0"/>
            </c:dLbl>
            <c:dLbl>
              <c:idx val="2"/>
              <c:layout>
                <c:manualLayout>
                  <c:x val="-2.2222222222222324E-2"/>
                  <c:y val="9.259259259259281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'[Ловеч-показатели.xlsx]Демографски показатели'!$A$28:$A$30</c:f>
              <c:numCache>
                <c:formatCode>General</c:formatCode>
                <c:ptCount val="3"/>
                <c:pt idx="0">
                  <c:v>2014</c:v>
                </c:pt>
                <c:pt idx="1">
                  <c:v>2015</c:v>
                </c:pt>
                <c:pt idx="2">
                  <c:v>2016</c:v>
                </c:pt>
              </c:numCache>
            </c:numRef>
          </c:cat>
          <c:val>
            <c:numRef>
              <c:f>'[Ловеч-показатели.xlsx]Демографски показатели'!$N$28:$N$30</c:f>
              <c:numCache>
                <c:formatCode>0.0</c:formatCode>
                <c:ptCount val="3"/>
                <c:pt idx="0">
                  <c:v>19.968092994689655</c:v>
                </c:pt>
                <c:pt idx="1">
                  <c:v>22.792087791745569</c:v>
                </c:pt>
                <c:pt idx="2">
                  <c:v>22.225317670365726</c:v>
                </c:pt>
              </c:numCache>
            </c:numRef>
          </c:val>
          <c:smooth val="0"/>
        </c:ser>
        <c:ser>
          <c:idx val="2"/>
          <c:order val="2"/>
          <c:tx>
            <c:strRef>
              <c:f>'[Ловеч-показатели.xlsx]Демографски показатели'!$H$26:$J$26</c:f>
              <c:strCache>
                <c:ptCount val="1"/>
                <c:pt idx="0">
                  <c:v>Механичен прираст</c:v>
                </c:pt>
              </c:strCache>
            </c:strRef>
          </c:tx>
          <c:dLbls>
            <c:dLbl>
              <c:idx val="0"/>
              <c:layout>
                <c:manualLayout>
                  <c:x val="-1.9444444444444497E-2"/>
                  <c:y val="2.7777777777777863E-2"/>
                </c:manualLayout>
              </c:layout>
              <c:showLegendKey val="0"/>
              <c:showVal val="1"/>
              <c:showCatName val="0"/>
              <c:showSerName val="0"/>
              <c:showPercent val="0"/>
              <c:showBubbleSize val="0"/>
            </c:dLbl>
            <c:dLbl>
              <c:idx val="1"/>
              <c:layout>
                <c:manualLayout>
                  <c:x val="-1.9444444444444445E-2"/>
                  <c:y val="3.703667249927084E-2"/>
                </c:manualLayout>
              </c:layout>
              <c:showLegendKey val="0"/>
              <c:showVal val="1"/>
              <c:showCatName val="0"/>
              <c:showSerName val="0"/>
              <c:showPercent val="0"/>
              <c:showBubbleSize val="0"/>
            </c:dLbl>
            <c:dLbl>
              <c:idx val="2"/>
              <c:layout>
                <c:manualLayout>
                  <c:x val="-2.5000000000000001E-2"/>
                  <c:y val="2.314814814814823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'[Ловеч-показатели.xlsx]Демографски показатели'!$A$28:$A$30</c:f>
              <c:numCache>
                <c:formatCode>General</c:formatCode>
                <c:ptCount val="3"/>
                <c:pt idx="0">
                  <c:v>2014</c:v>
                </c:pt>
                <c:pt idx="1">
                  <c:v>2015</c:v>
                </c:pt>
                <c:pt idx="2">
                  <c:v>2016</c:v>
                </c:pt>
              </c:numCache>
            </c:numRef>
          </c:cat>
          <c:val>
            <c:numRef>
              <c:f>'[Ловеч-показатели.xlsx]Демографски показатели'!$P$28:$P$30</c:f>
              <c:numCache>
                <c:formatCode>0.0</c:formatCode>
                <c:ptCount val="3"/>
                <c:pt idx="0">
                  <c:v>-4.2317976526630359</c:v>
                </c:pt>
                <c:pt idx="1">
                  <c:v>-4.2587818362954684</c:v>
                </c:pt>
                <c:pt idx="2">
                  <c:v>-5.6104997601027682</c:v>
                </c:pt>
              </c:numCache>
            </c:numRef>
          </c:val>
          <c:smooth val="0"/>
        </c:ser>
        <c:dLbls>
          <c:showLegendKey val="0"/>
          <c:showVal val="0"/>
          <c:showCatName val="0"/>
          <c:showSerName val="0"/>
          <c:showPercent val="0"/>
          <c:showBubbleSize val="0"/>
        </c:dLbls>
        <c:marker val="1"/>
        <c:smooth val="0"/>
        <c:axId val="146072320"/>
        <c:axId val="146073856"/>
      </c:lineChart>
      <c:catAx>
        <c:axId val="146072320"/>
        <c:scaling>
          <c:orientation val="minMax"/>
        </c:scaling>
        <c:delete val="0"/>
        <c:axPos val="b"/>
        <c:numFmt formatCode="General" sourceLinked="1"/>
        <c:majorTickMark val="none"/>
        <c:minorTickMark val="none"/>
        <c:tickLblPos val="high"/>
        <c:crossAx val="146073856"/>
        <c:crosses val="autoZero"/>
        <c:auto val="1"/>
        <c:lblAlgn val="ctr"/>
        <c:lblOffset val="100"/>
        <c:noMultiLvlLbl val="0"/>
      </c:catAx>
      <c:valAx>
        <c:axId val="146073856"/>
        <c:scaling>
          <c:orientation val="minMax"/>
        </c:scaling>
        <c:delete val="0"/>
        <c:axPos val="l"/>
        <c:majorGridlines/>
        <c:numFmt formatCode="0.0" sourceLinked="1"/>
        <c:majorTickMark val="none"/>
        <c:minorTickMark val="none"/>
        <c:tickLblPos val="nextTo"/>
        <c:spPr>
          <a:ln w="9525">
            <a:noFill/>
          </a:ln>
        </c:spPr>
        <c:crossAx val="146072320"/>
        <c:crosses val="autoZero"/>
        <c:crossBetween val="between"/>
      </c:valAx>
    </c:plotArea>
    <c:legend>
      <c:legendPos val="b"/>
      <c:overlay val="0"/>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Приоритет </a:t>
            </a:r>
            <a:r>
              <a:rPr lang="en-US" sz="1800" b="0" i="0" baseline="0">
                <a:effectLst/>
              </a:rPr>
              <a:t>3</a:t>
            </a:r>
            <a:r>
              <a:rPr lang="bg-BG" sz="1800" b="0" i="0" baseline="0">
                <a:effectLst/>
              </a:rPr>
              <a:t>: Разпределение на финансовите ресурси по източник</a:t>
            </a:r>
            <a:endParaRPr lang="bg-BG">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6"/>
              <c:layout>
                <c:manualLayout>
                  <c:x val="-3.5584300239199776E-3"/>
                  <c:y val="2.3756896708196775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ефективност.xlsx]П3'!$B$128:$B$134</c:f>
              <c:strCache>
                <c:ptCount val="7"/>
                <c:pt idx="0">
                  <c:v>Национален бюджет</c:v>
                </c:pt>
                <c:pt idx="1">
                  <c:v>Общински бюджет</c:v>
                </c:pt>
                <c:pt idx="2">
                  <c:v>ОПАК</c:v>
                </c:pt>
                <c:pt idx="3">
                  <c:v>ОПРКБИ/ОПИК</c:v>
                </c:pt>
                <c:pt idx="4">
                  <c:v>ОПРР</c:v>
                </c:pt>
                <c:pt idx="5">
                  <c:v>ОПРЧР</c:v>
                </c:pt>
                <c:pt idx="6">
                  <c:v>ПРСР</c:v>
                </c:pt>
              </c:strCache>
            </c:strRef>
          </c:cat>
          <c:val>
            <c:numRef>
              <c:f>'[Ефикасност и ефективност.xlsx]П3'!$C$128:$C$134</c:f>
              <c:numCache>
                <c:formatCode>#,##0</c:formatCode>
                <c:ptCount val="7"/>
                <c:pt idx="0">
                  <c:v>942795</c:v>
                </c:pt>
                <c:pt idx="1">
                  <c:v>322280</c:v>
                </c:pt>
                <c:pt idx="2">
                  <c:v>368716</c:v>
                </c:pt>
                <c:pt idx="3">
                  <c:v>3257126</c:v>
                </c:pt>
                <c:pt idx="4">
                  <c:v>2198099</c:v>
                </c:pt>
                <c:pt idx="5">
                  <c:v>193168</c:v>
                </c:pt>
                <c:pt idx="6">
                  <c:v>1640808</c:v>
                </c:pt>
              </c:numCache>
            </c:numRef>
          </c:val>
        </c:ser>
        <c:dLbls>
          <c:showLegendKey val="0"/>
          <c:showVal val="0"/>
          <c:showCatName val="0"/>
          <c:showSerName val="0"/>
          <c:showPercent val="0"/>
          <c:showBubbleSize val="0"/>
          <c:showLeaderLines val="1"/>
        </c:dLbls>
        <c:firstSliceAng val="1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Приоритет </a:t>
            </a:r>
            <a:r>
              <a:rPr lang="en-US" sz="1800" b="0" i="0" baseline="0">
                <a:effectLst/>
              </a:rPr>
              <a:t>3</a:t>
            </a:r>
            <a:r>
              <a:rPr lang="bg-BG" sz="1800" b="0" i="0" baseline="0">
                <a:effectLst/>
              </a:rPr>
              <a:t>: </a:t>
            </a:r>
            <a:endParaRPr lang="bg-BG">
              <a:effectLst/>
            </a:endParaRPr>
          </a:p>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800" b="0" i="0" baseline="0">
                <a:effectLst/>
              </a:rPr>
              <a:t>Разпределение на финансови ресурси по общини</a:t>
            </a:r>
            <a:endParaRPr lang="bg-BG">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'[Ефикасност и ефективност.xlsx]П4'!$B$11:$B$13</c:f>
              <c:strCache>
                <c:ptCount val="3"/>
                <c:pt idx="0">
                  <c:v>Община Априлци</c:v>
                </c:pt>
                <c:pt idx="1">
                  <c:v>Община Летница</c:v>
                </c:pt>
                <c:pt idx="2">
                  <c:v>Община Троян</c:v>
                </c:pt>
              </c:strCache>
            </c:strRef>
          </c:cat>
          <c:val>
            <c:numRef>
              <c:f>'[Ефикасност и ефективност.xlsx]П4'!$C$11:$C$13</c:f>
              <c:numCache>
                <c:formatCode>General</c:formatCode>
                <c:ptCount val="3"/>
                <c:pt idx="0">
                  <c:v>94900</c:v>
                </c:pt>
                <c:pt idx="1">
                  <c:v>98335</c:v>
                </c:pt>
                <c:pt idx="2">
                  <c:v>49313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sz="1400"/>
              <a:t>Индикативни бюджети по сключени проекти от ИСУН 2014-2020</a:t>
            </a:r>
            <a:endParaRPr lang="af-ZA" sz="1400"/>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[Финансиране.xlsx]Sheet1!$A$83:$A$85</c:f>
              <c:strCache>
                <c:ptCount val="3"/>
                <c:pt idx="0">
                  <c:v>Приоритет 1</c:v>
                </c:pt>
                <c:pt idx="1">
                  <c:v>Приоритет 2</c:v>
                </c:pt>
                <c:pt idx="2">
                  <c:v>Приоритет 3</c:v>
                </c:pt>
              </c:strCache>
            </c:strRef>
          </c:cat>
          <c:val>
            <c:numRef>
              <c:f>[Финансиране.xlsx]Sheet1!$B$83:$B$85</c:f>
              <c:numCache>
                <c:formatCode>General</c:formatCode>
                <c:ptCount val="3"/>
                <c:pt idx="0">
                  <c:v>11051482.130000001</c:v>
                </c:pt>
                <c:pt idx="1">
                  <c:v>3217369.97</c:v>
                </c:pt>
                <c:pt idx="2">
                  <c:v>10495338.67</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23840769903762"/>
          <c:y val="9.3067220764071146E-2"/>
          <c:w val="0.85520603674540685"/>
          <c:h val="0.57915317876932049"/>
        </c:manualLayout>
      </c:layout>
      <c:lineChart>
        <c:grouping val="standard"/>
        <c:varyColors val="0"/>
        <c:ser>
          <c:idx val="0"/>
          <c:order val="0"/>
          <c:tx>
            <c:v>Средна годишна заплата на наетите лица по трудово и служебно правоотношение</c:v>
          </c:tx>
          <c:dLbls>
            <c:dLbl>
              <c:idx val="0"/>
              <c:layout>
                <c:manualLayout>
                  <c:x val="-4.9000000000000023E-2"/>
                  <c:y val="-5.0180879932381316E-2"/>
                </c:manualLayout>
              </c:layout>
              <c:dLblPos val="r"/>
              <c:showLegendKey val="0"/>
              <c:showVal val="1"/>
              <c:showCatName val="0"/>
              <c:showSerName val="0"/>
              <c:showPercent val="0"/>
              <c:showBubbleSize val="0"/>
            </c:dLbl>
            <c:dLbl>
              <c:idx val="1"/>
              <c:layout>
                <c:manualLayout>
                  <c:x val="-5.4555555555555559E-2"/>
                  <c:y val="-3.6621557898483051E-2"/>
                </c:manualLayout>
              </c:layout>
              <c:dLblPos val="r"/>
              <c:showLegendKey val="0"/>
              <c:showVal val="1"/>
              <c:showCatName val="0"/>
              <c:showSerName val="0"/>
              <c:showPercent val="0"/>
              <c:showBubbleSize val="0"/>
            </c:dLbl>
            <c:dLbl>
              <c:idx val="2"/>
              <c:layout>
                <c:manualLayout>
                  <c:x val="-4.622222222222222E-2"/>
                  <c:y val="-4.5661105921081899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Доходи!$N$2:$P$2</c:f>
              <c:numCache>
                <c:formatCode>General</c:formatCode>
                <c:ptCount val="3"/>
                <c:pt idx="0">
                  <c:v>2014</c:v>
                </c:pt>
                <c:pt idx="1">
                  <c:v>2015</c:v>
                </c:pt>
                <c:pt idx="2">
                  <c:v>2016</c:v>
                </c:pt>
              </c:numCache>
            </c:numRef>
          </c:cat>
          <c:val>
            <c:numRef>
              <c:f>Доходи!$N$3:$P$3</c:f>
              <c:numCache>
                <c:formatCode>General</c:formatCode>
                <c:ptCount val="3"/>
                <c:pt idx="0">
                  <c:v>7487</c:v>
                </c:pt>
                <c:pt idx="1">
                  <c:v>8033</c:v>
                </c:pt>
                <c:pt idx="2">
                  <c:v>8604</c:v>
                </c:pt>
              </c:numCache>
            </c:numRef>
          </c:val>
          <c:smooth val="0"/>
        </c:ser>
        <c:ser>
          <c:idx val="1"/>
          <c:order val="1"/>
          <c:tx>
            <c:v>Средногодишен доход на лице от домакинство</c:v>
          </c:tx>
          <c:dLbls>
            <c:dLbl>
              <c:idx val="0"/>
              <c:layout>
                <c:manualLayout>
                  <c:x val="-5.7694663167104136E-2"/>
                  <c:y val="-4.5661461808799368E-2"/>
                </c:manualLayout>
              </c:layout>
              <c:dLblPos val="r"/>
              <c:showLegendKey val="0"/>
              <c:showVal val="1"/>
              <c:showCatName val="0"/>
              <c:showSerName val="0"/>
              <c:showPercent val="0"/>
              <c:showBubbleSize val="0"/>
            </c:dLbl>
            <c:dLbl>
              <c:idx val="1"/>
              <c:layout>
                <c:manualLayout>
                  <c:x val="-5.7694444444444444E-2"/>
                  <c:y val="-5.0180879932381336E-2"/>
                </c:manualLayout>
              </c:layout>
              <c:dLblPos val="r"/>
              <c:showLegendKey val="0"/>
              <c:showVal val="1"/>
              <c:showCatName val="0"/>
              <c:showSerName val="0"/>
              <c:showPercent val="0"/>
              <c:showBubbleSize val="0"/>
            </c:dLbl>
            <c:dLbl>
              <c:idx val="2"/>
              <c:layout>
                <c:manualLayout>
                  <c:x val="-2.9916666666666668E-2"/>
                  <c:y val="-4.1141331909782461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Доходи!$N$2:$P$2</c:f>
              <c:numCache>
                <c:formatCode>General</c:formatCode>
                <c:ptCount val="3"/>
                <c:pt idx="0">
                  <c:v>2014</c:v>
                </c:pt>
                <c:pt idx="1">
                  <c:v>2015</c:v>
                </c:pt>
                <c:pt idx="2">
                  <c:v>2016</c:v>
                </c:pt>
              </c:numCache>
            </c:numRef>
          </c:cat>
          <c:val>
            <c:numRef>
              <c:f>Доходи!$N$4:$P$4</c:f>
              <c:numCache>
                <c:formatCode>#,##0</c:formatCode>
                <c:ptCount val="3"/>
                <c:pt idx="0">
                  <c:v>3788</c:v>
                </c:pt>
                <c:pt idx="1">
                  <c:v>4084</c:v>
                </c:pt>
                <c:pt idx="2">
                  <c:v>4123</c:v>
                </c:pt>
              </c:numCache>
            </c:numRef>
          </c:val>
          <c:smooth val="0"/>
        </c:ser>
        <c:dLbls>
          <c:showLegendKey val="0"/>
          <c:showVal val="0"/>
          <c:showCatName val="0"/>
          <c:showSerName val="0"/>
          <c:showPercent val="0"/>
          <c:showBubbleSize val="0"/>
        </c:dLbls>
        <c:marker val="1"/>
        <c:smooth val="0"/>
        <c:axId val="92962176"/>
        <c:axId val="92963968"/>
      </c:lineChart>
      <c:catAx>
        <c:axId val="92962176"/>
        <c:scaling>
          <c:orientation val="minMax"/>
        </c:scaling>
        <c:delete val="0"/>
        <c:axPos val="b"/>
        <c:numFmt formatCode="General" sourceLinked="1"/>
        <c:majorTickMark val="none"/>
        <c:minorTickMark val="none"/>
        <c:tickLblPos val="nextTo"/>
        <c:txPr>
          <a:bodyPr/>
          <a:lstStyle/>
          <a:p>
            <a:pPr>
              <a:defRPr b="1"/>
            </a:pPr>
            <a:endParaRPr lang="bg-BG"/>
          </a:p>
        </c:txPr>
        <c:crossAx val="92963968"/>
        <c:crosses val="autoZero"/>
        <c:auto val="1"/>
        <c:lblAlgn val="ctr"/>
        <c:lblOffset val="100"/>
        <c:noMultiLvlLbl val="0"/>
      </c:catAx>
      <c:valAx>
        <c:axId val="92963968"/>
        <c:scaling>
          <c:orientation val="minMax"/>
        </c:scaling>
        <c:delete val="0"/>
        <c:axPos val="l"/>
        <c:majorGridlines/>
        <c:numFmt formatCode="General" sourceLinked="1"/>
        <c:majorTickMark val="none"/>
        <c:minorTickMark val="none"/>
        <c:tickLblPos val="nextTo"/>
        <c:spPr>
          <a:ln w="9525">
            <a:noFill/>
          </a:ln>
        </c:spPr>
        <c:crossAx val="92962176"/>
        <c:crosses val="autoZero"/>
        <c:crossBetween val="between"/>
      </c:valAx>
    </c:plotArea>
    <c:legend>
      <c:legendPos val="b"/>
      <c:overlay val="0"/>
      <c:txPr>
        <a:bodyPr/>
        <a:lstStyle/>
        <a:p>
          <a:pPr>
            <a:defRPr sz="1000">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Заетост!$A$8</c:f>
              <c:strCache>
                <c:ptCount val="1"/>
                <c:pt idx="0">
                  <c:v>Средногодишен коефициент на безработица на населението на 15 и повече навършени години, %</c:v>
                </c:pt>
              </c:strCache>
            </c:strRef>
          </c:tx>
          <c:dLbls>
            <c:dLbl>
              <c:idx val="0"/>
              <c:layout>
                <c:manualLayout>
                  <c:x val="-8.3333333333333332E-3"/>
                  <c:y val="-4.1666666666666755E-2"/>
                </c:manualLayout>
              </c:layout>
              <c:showLegendKey val="0"/>
              <c:showVal val="1"/>
              <c:showCatName val="0"/>
              <c:showSerName val="0"/>
              <c:showPercent val="0"/>
              <c:showBubbleSize val="0"/>
            </c:dLbl>
            <c:dLbl>
              <c:idx val="1"/>
              <c:layout>
                <c:manualLayout>
                  <c:x val="-1.9444444444444445E-2"/>
                  <c:y val="-5.0925925925926013E-2"/>
                </c:manualLayout>
              </c:layout>
              <c:showLegendKey val="0"/>
              <c:showVal val="1"/>
              <c:showCatName val="0"/>
              <c:showSerName val="0"/>
              <c:showPercent val="0"/>
              <c:showBubbleSize val="0"/>
            </c:dLbl>
            <c:dLbl>
              <c:idx val="2"/>
              <c:layout>
                <c:manualLayout>
                  <c:x val="-1.6666666666666767E-2"/>
                  <c:y val="-3.703703703703703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Заетост!$A$9:$C$9</c:f>
              <c:numCache>
                <c:formatCode>General</c:formatCode>
                <c:ptCount val="3"/>
                <c:pt idx="0">
                  <c:v>2014</c:v>
                </c:pt>
                <c:pt idx="1">
                  <c:v>2015</c:v>
                </c:pt>
                <c:pt idx="2">
                  <c:v>2016</c:v>
                </c:pt>
              </c:numCache>
            </c:numRef>
          </c:cat>
          <c:val>
            <c:numRef>
              <c:f>Заетост!$A$10:$C$10</c:f>
              <c:numCache>
                <c:formatCode>0.0</c:formatCode>
                <c:ptCount val="3"/>
                <c:pt idx="0">
                  <c:v>10.199999999999999</c:v>
                </c:pt>
                <c:pt idx="1">
                  <c:v>9.1999999999999993</c:v>
                </c:pt>
                <c:pt idx="2">
                  <c:v>7.9</c:v>
                </c:pt>
              </c:numCache>
            </c:numRef>
          </c:val>
          <c:smooth val="0"/>
        </c:ser>
        <c:ser>
          <c:idx val="1"/>
          <c:order val="1"/>
          <c:tx>
            <c:strRef>
              <c:f>Заетост!$D$8</c:f>
              <c:strCache>
                <c:ptCount val="1"/>
                <c:pt idx="0">
                  <c:v>Средногодишен коефициент на заетост на населението на 15-64 години, %</c:v>
                </c:pt>
              </c:strCache>
            </c:strRef>
          </c:tx>
          <c:dLbls>
            <c:dLbl>
              <c:idx val="0"/>
              <c:layout>
                <c:manualLayout>
                  <c:x val="-1.6666666666666666E-2"/>
                  <c:y val="-6.0185185185185196E-2"/>
                </c:manualLayout>
              </c:layout>
              <c:showLegendKey val="0"/>
              <c:showVal val="1"/>
              <c:showCatName val="0"/>
              <c:showSerName val="0"/>
              <c:showPercent val="0"/>
              <c:showBubbleSize val="0"/>
            </c:dLbl>
            <c:dLbl>
              <c:idx val="1"/>
              <c:layout>
                <c:manualLayout>
                  <c:x val="-1.0185067526415994E-16"/>
                  <c:y val="-4.1666666666666671E-2"/>
                </c:manualLayout>
              </c:layout>
              <c:showLegendKey val="0"/>
              <c:showVal val="1"/>
              <c:showCatName val="0"/>
              <c:showSerName val="0"/>
              <c:showPercent val="0"/>
              <c:showBubbleSize val="0"/>
            </c:dLbl>
            <c:dLbl>
              <c:idx val="2"/>
              <c:layout>
                <c:manualLayout>
                  <c:x val="-1.6666666666666767E-2"/>
                  <c:y val="-5.555555555555555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Заетост!$A$9:$C$9</c:f>
              <c:numCache>
                <c:formatCode>General</c:formatCode>
                <c:ptCount val="3"/>
                <c:pt idx="0">
                  <c:v>2014</c:v>
                </c:pt>
                <c:pt idx="1">
                  <c:v>2015</c:v>
                </c:pt>
                <c:pt idx="2">
                  <c:v>2016</c:v>
                </c:pt>
              </c:numCache>
            </c:numRef>
          </c:cat>
          <c:val>
            <c:numRef>
              <c:f>Заетост!$A$11:$C$11</c:f>
              <c:numCache>
                <c:formatCode>0.0</c:formatCode>
                <c:ptCount val="3"/>
                <c:pt idx="0">
                  <c:v>51</c:v>
                </c:pt>
                <c:pt idx="1">
                  <c:v>54.6</c:v>
                </c:pt>
                <c:pt idx="2">
                  <c:v>52.4</c:v>
                </c:pt>
              </c:numCache>
            </c:numRef>
          </c:val>
          <c:smooth val="0"/>
        </c:ser>
        <c:dLbls>
          <c:showLegendKey val="0"/>
          <c:showVal val="0"/>
          <c:showCatName val="0"/>
          <c:showSerName val="0"/>
          <c:showPercent val="0"/>
          <c:showBubbleSize val="0"/>
        </c:dLbls>
        <c:marker val="1"/>
        <c:smooth val="0"/>
        <c:axId val="166288384"/>
        <c:axId val="93135616"/>
      </c:lineChart>
      <c:catAx>
        <c:axId val="166288384"/>
        <c:scaling>
          <c:orientation val="minMax"/>
        </c:scaling>
        <c:delete val="0"/>
        <c:axPos val="b"/>
        <c:numFmt formatCode="General" sourceLinked="1"/>
        <c:majorTickMark val="none"/>
        <c:minorTickMark val="none"/>
        <c:tickLblPos val="nextTo"/>
        <c:crossAx val="93135616"/>
        <c:crosses val="autoZero"/>
        <c:auto val="1"/>
        <c:lblAlgn val="ctr"/>
        <c:lblOffset val="100"/>
        <c:noMultiLvlLbl val="0"/>
      </c:catAx>
      <c:valAx>
        <c:axId val="93135616"/>
        <c:scaling>
          <c:orientation val="minMax"/>
        </c:scaling>
        <c:delete val="0"/>
        <c:axPos val="l"/>
        <c:majorGridlines/>
        <c:numFmt formatCode="0.0" sourceLinked="1"/>
        <c:majorTickMark val="none"/>
        <c:minorTickMark val="none"/>
        <c:tickLblPos val="nextTo"/>
        <c:spPr>
          <a:ln w="9525">
            <a:noFill/>
          </a:ln>
        </c:spPr>
        <c:crossAx val="166288384"/>
        <c:crosses val="autoZero"/>
        <c:crossBetween val="between"/>
      </c:valAx>
    </c:plotArea>
    <c:legend>
      <c:legendPos val="b"/>
      <c:layout>
        <c:manualLayout>
          <c:xMode val="edge"/>
          <c:yMode val="edge"/>
          <c:x val="5.8888888888888886E-2"/>
          <c:y val="0.75579286964129488"/>
          <c:w val="0.88222222222222224"/>
          <c:h val="0.24420713035870517"/>
        </c:manualLayout>
      </c:layout>
      <c:overlay val="0"/>
      <c:txPr>
        <a:bodyPr/>
        <a:lstStyle/>
        <a:p>
          <a:pPr>
            <a:defRPr>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30"/>
      <c:rAngAx val="0"/>
      <c:perspective val="30"/>
    </c:view3D>
    <c:floor>
      <c:thickness val="0"/>
    </c:floor>
    <c:sideWall>
      <c:thickness val="0"/>
    </c:sideWall>
    <c:backWall>
      <c:thickness val="0"/>
    </c:backWall>
    <c:plotArea>
      <c:layout>
        <c:manualLayout>
          <c:layoutTarget val="inner"/>
          <c:xMode val="edge"/>
          <c:yMode val="edge"/>
          <c:x val="1.4918674199182354E-3"/>
          <c:y val="2.1502205841291113E-2"/>
          <c:w val="0.60140893169023013"/>
          <c:h val="0.86539975056309448"/>
        </c:manualLayout>
      </c:layout>
      <c:pie3DChart>
        <c:varyColors val="1"/>
        <c:ser>
          <c:idx val="0"/>
          <c:order val="0"/>
          <c:dPt>
            <c:idx val="4"/>
            <c:bubble3D val="0"/>
            <c:spPr>
              <a:effectLst>
                <a:outerShdw blurRad="50800" dist="50800" dir="5400000" sx="200000" sy="200000" algn="ctr" rotWithShape="0">
                  <a:srgbClr val="000000">
                    <a:alpha val="43137"/>
                  </a:srgbClr>
                </a:outerShdw>
              </a:effectLst>
            </c:spPr>
          </c:dPt>
          <c:dLbls>
            <c:dLbl>
              <c:idx val="3"/>
              <c:layout>
                <c:manualLayout>
                  <c:x val="-1.2372449726312183E-2"/>
                  <c:y val="-4.0805271681465347E-2"/>
                </c:manualLayout>
              </c:layout>
              <c:showLegendKey val="0"/>
              <c:showVal val="0"/>
              <c:showCatName val="0"/>
              <c:showSerName val="0"/>
              <c:showPercent val="1"/>
              <c:showBubbleSize val="0"/>
            </c:dLbl>
            <c:dLbl>
              <c:idx val="5"/>
              <c:delete val="1"/>
            </c:dLbl>
            <c:dLbl>
              <c:idx val="6"/>
              <c:delete val="1"/>
            </c:dLbl>
            <c:dLbl>
              <c:idx val="7"/>
              <c:delete val="1"/>
            </c:dLbl>
            <c:showLegendKey val="0"/>
            <c:showVal val="0"/>
            <c:showCatName val="0"/>
            <c:showSerName val="0"/>
            <c:showPercent val="1"/>
            <c:showBubbleSize val="0"/>
            <c:showLeaderLines val="1"/>
          </c:dLbls>
          <c:cat>
            <c:strRef>
              <c:f>Заетост!$C$13:$M$13</c:f>
              <c:strCache>
                <c:ptCount val="11"/>
                <c:pt idx="0">
                  <c:v>Селско, горско и рибно стопанство</c:v>
                </c:pt>
                <c:pt idx="1">
                  <c:v>Индустрия (с изкл. на строителството)</c:v>
                </c:pt>
                <c:pt idx="2">
                  <c:v>В това число: преработваща промишленост</c:v>
                </c:pt>
                <c:pt idx="3">
                  <c:v>Строителство</c:v>
                </c:pt>
                <c:pt idx="4">
                  <c:v>Търговия, транспорт, хотелиерство и ресторантьорство</c:v>
                </c:pt>
                <c:pt idx="5">
                  <c:v>Създаване и разпространение на информация и творчески продукти; далекосъобщения</c:v>
                </c:pt>
                <c:pt idx="6">
                  <c:v>Финансови и застрахователни дейности</c:v>
                </c:pt>
                <c:pt idx="7">
                  <c:v>Операции с недвижими имоти</c:v>
                </c:pt>
                <c:pt idx="8">
                  <c:v>Професионални дейности и научни изследвания; административни и спомагателни дейности</c:v>
                </c:pt>
                <c:pt idx="9">
                  <c:v>Държавно управление; образование; хуманно здравеопазване и социална работа</c:v>
                </c:pt>
                <c:pt idx="10">
                  <c:v>Култура, спорт и развлечения, ремонт на домакински вещи и други дейности</c:v>
                </c:pt>
              </c:strCache>
            </c:strRef>
          </c:cat>
          <c:val>
            <c:numRef>
              <c:f>Заетост!$C$15:$M$15</c:f>
              <c:numCache>
                <c:formatCode>General</c:formatCode>
                <c:ptCount val="11"/>
                <c:pt idx="0">
                  <c:v>14.542999999999999</c:v>
                </c:pt>
                <c:pt idx="1">
                  <c:v>16.811</c:v>
                </c:pt>
                <c:pt idx="2">
                  <c:v>16.106000000000002</c:v>
                </c:pt>
                <c:pt idx="3">
                  <c:v>0.91300000000000003</c:v>
                </c:pt>
                <c:pt idx="4">
                  <c:v>10.167999999999999</c:v>
                </c:pt>
                <c:pt idx="5">
                  <c:v>0.22600000000000001</c:v>
                </c:pt>
                <c:pt idx="6">
                  <c:v>0.222</c:v>
                </c:pt>
                <c:pt idx="7">
                  <c:v>0.17899999999999999</c:v>
                </c:pt>
                <c:pt idx="8">
                  <c:v>1.1839999999999999</c:v>
                </c:pt>
                <c:pt idx="9">
                  <c:v>9.0709999999999997</c:v>
                </c:pt>
                <c:pt idx="10">
                  <c:v>0.95299999999999996</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61119703787026625"/>
          <c:y val="0"/>
          <c:w val="0.38727512220823695"/>
          <c:h val="0.99591035163157793"/>
        </c:manualLayout>
      </c:layout>
      <c:overlay val="1"/>
      <c:txPr>
        <a:bodyPr/>
        <a:lstStyle/>
        <a:p>
          <a:pPr>
            <a:defRPr sz="700" kern="100" cap="none" spc="0" baseline="0">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4.1666666666666666E-3"/>
          <c:y val="0.1112678623505395"/>
          <c:w val="0.99583333333333335"/>
          <c:h val="0.73992782152230963"/>
        </c:manualLayout>
      </c:layout>
      <c:pie3DChart>
        <c:varyColors val="1"/>
        <c:ser>
          <c:idx val="0"/>
          <c:order val="0"/>
          <c:dLbls>
            <c:showLegendKey val="0"/>
            <c:showVal val="0"/>
            <c:showCatName val="0"/>
            <c:showSerName val="0"/>
            <c:showPercent val="1"/>
            <c:showBubbleSize val="0"/>
            <c:showLeaderLines val="1"/>
          </c:dLbls>
          <c:cat>
            <c:strRef>
              <c:f>БВП!$B$3:$D$3</c:f>
              <c:strCache>
                <c:ptCount val="3"/>
                <c:pt idx="0">
                  <c:v>Селско, горско и рибно стопанство</c:v>
                </c:pt>
                <c:pt idx="1">
                  <c:v>Индустрия</c:v>
                </c:pt>
                <c:pt idx="2">
                  <c:v>Услуги</c:v>
                </c:pt>
              </c:strCache>
            </c:strRef>
          </c:cat>
          <c:val>
            <c:numRef>
              <c:f>БВП!$B$5:$D$5</c:f>
              <c:numCache>
                <c:formatCode>General</c:formatCode>
                <c:ptCount val="3"/>
                <c:pt idx="0">
                  <c:v>93</c:v>
                </c:pt>
                <c:pt idx="1">
                  <c:v>306</c:v>
                </c:pt>
                <c:pt idx="2">
                  <c:v>490</c:v>
                </c:pt>
              </c:numCache>
            </c:numRef>
          </c:val>
        </c:ser>
        <c:dLbls>
          <c:showLegendKey val="0"/>
          <c:showVal val="0"/>
          <c:showCatName val="0"/>
          <c:showSerName val="0"/>
          <c:showPercent val="1"/>
          <c:showBubbleSize val="0"/>
          <c:showLeaderLines val="1"/>
        </c:dLbls>
      </c:pie3DChart>
    </c:plotArea>
    <c:legend>
      <c:legendPos val="b"/>
      <c:overlay val="0"/>
      <c:txPr>
        <a:bodyPr/>
        <a:lstStyle/>
        <a:p>
          <a:pPr rtl="0">
            <a:defRPr>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240507436570429"/>
          <c:y val="0.10232648002333042"/>
          <c:w val="0.75408245844269461"/>
          <c:h val="0.62757764654418202"/>
        </c:manualLayout>
      </c:layout>
      <c:bar3DChart>
        <c:barDir val="col"/>
        <c:grouping val="clustered"/>
        <c:varyColors val="0"/>
        <c:ser>
          <c:idx val="0"/>
          <c:order val="0"/>
          <c:tx>
            <c:v>2014</c:v>
          </c:tx>
          <c:invertIfNegative val="0"/>
          <c:cat>
            <c:strRef>
              <c:f>'Селско стопанство'!$T$3:$W$3</c:f>
              <c:strCache>
                <c:ptCount val="4"/>
                <c:pt idx="0">
                  <c:v>Ниви 
</c:v>
                </c:pt>
                <c:pt idx="1">
                  <c:v>Ливади и пасища
</c:v>
                </c:pt>
                <c:pt idx="2">
                  <c:v>Трайни насаждения /овощни/
</c:v>
                </c:pt>
                <c:pt idx="3">
                  <c:v>Лозя
</c:v>
                </c:pt>
              </c:strCache>
            </c:strRef>
          </c:cat>
          <c:val>
            <c:numRef>
              <c:f>'Селско стопанство'!$T$12:$W$12</c:f>
              <c:numCache>
                <c:formatCode>General</c:formatCode>
                <c:ptCount val="4"/>
                <c:pt idx="0">
                  <c:v>979647</c:v>
                </c:pt>
                <c:pt idx="1">
                  <c:v>842783</c:v>
                </c:pt>
                <c:pt idx="2">
                  <c:v>151066</c:v>
                </c:pt>
                <c:pt idx="3">
                  <c:v>24617</c:v>
                </c:pt>
              </c:numCache>
            </c:numRef>
          </c:val>
        </c:ser>
        <c:ser>
          <c:idx val="1"/>
          <c:order val="1"/>
          <c:tx>
            <c:v>2015</c:v>
          </c:tx>
          <c:invertIfNegative val="0"/>
          <c:cat>
            <c:strRef>
              <c:f>'Селско стопанство'!$T$3:$W$3</c:f>
              <c:strCache>
                <c:ptCount val="4"/>
                <c:pt idx="0">
                  <c:v>Ниви 
</c:v>
                </c:pt>
                <c:pt idx="1">
                  <c:v>Ливади и пасища
</c:v>
                </c:pt>
                <c:pt idx="2">
                  <c:v>Трайни насаждения /овощни/
</c:v>
                </c:pt>
                <c:pt idx="3">
                  <c:v>Лозя
</c:v>
                </c:pt>
              </c:strCache>
            </c:strRef>
          </c:cat>
          <c:val>
            <c:numRef>
              <c:f>'Селско стопанство'!$T$13:$W$13</c:f>
              <c:numCache>
                <c:formatCode>General</c:formatCode>
                <c:ptCount val="4"/>
                <c:pt idx="0">
                  <c:v>988779.89</c:v>
                </c:pt>
                <c:pt idx="1">
                  <c:v>799291</c:v>
                </c:pt>
                <c:pt idx="2">
                  <c:v>148130</c:v>
                </c:pt>
                <c:pt idx="3">
                  <c:v>25612</c:v>
                </c:pt>
              </c:numCache>
            </c:numRef>
          </c:val>
        </c:ser>
        <c:ser>
          <c:idx val="2"/>
          <c:order val="2"/>
          <c:tx>
            <c:v>2016</c:v>
          </c:tx>
          <c:invertIfNegative val="0"/>
          <c:cat>
            <c:strRef>
              <c:f>'Селско стопанство'!$T$3:$W$3</c:f>
              <c:strCache>
                <c:ptCount val="4"/>
                <c:pt idx="0">
                  <c:v>Ниви 
</c:v>
                </c:pt>
                <c:pt idx="1">
                  <c:v>Ливади и пасища
</c:v>
                </c:pt>
                <c:pt idx="2">
                  <c:v>Трайни насаждения /овощни/
</c:v>
                </c:pt>
                <c:pt idx="3">
                  <c:v>Лозя
</c:v>
                </c:pt>
              </c:strCache>
            </c:strRef>
          </c:cat>
          <c:val>
            <c:numRef>
              <c:f>'Селско стопанство'!$T$14:$W$14</c:f>
              <c:numCache>
                <c:formatCode>General</c:formatCode>
                <c:ptCount val="4"/>
                <c:pt idx="0">
                  <c:v>988779</c:v>
                </c:pt>
                <c:pt idx="1">
                  <c:v>799291</c:v>
                </c:pt>
                <c:pt idx="2">
                  <c:v>148130</c:v>
                </c:pt>
                <c:pt idx="3">
                  <c:v>25612</c:v>
                </c:pt>
              </c:numCache>
            </c:numRef>
          </c:val>
        </c:ser>
        <c:dLbls>
          <c:showLegendKey val="0"/>
          <c:showVal val="0"/>
          <c:showCatName val="0"/>
          <c:showSerName val="0"/>
          <c:showPercent val="0"/>
          <c:showBubbleSize val="0"/>
        </c:dLbls>
        <c:gapWidth val="150"/>
        <c:shape val="box"/>
        <c:axId val="93186688"/>
        <c:axId val="93188480"/>
        <c:axId val="0"/>
      </c:bar3DChart>
      <c:catAx>
        <c:axId val="93186688"/>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bg-BG"/>
          </a:p>
        </c:txPr>
        <c:crossAx val="93188480"/>
        <c:crosses val="autoZero"/>
        <c:auto val="1"/>
        <c:lblAlgn val="ctr"/>
        <c:lblOffset val="100"/>
        <c:noMultiLvlLbl val="0"/>
      </c:catAx>
      <c:valAx>
        <c:axId val="93188480"/>
        <c:scaling>
          <c:orientation val="minMax"/>
        </c:scaling>
        <c:delete val="0"/>
        <c:axPos val="l"/>
        <c:majorGridlines/>
        <c:numFmt formatCode="General" sourceLinked="1"/>
        <c:majorTickMark val="out"/>
        <c:minorTickMark val="none"/>
        <c:tickLblPos val="nextTo"/>
        <c:crossAx val="931866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43285214348206"/>
          <c:y val="5.1400554097404488E-2"/>
          <c:w val="0.77649912510936125"/>
          <c:h val="0.82853164187809858"/>
        </c:manualLayout>
      </c:layout>
      <c:bar3DChart>
        <c:barDir val="col"/>
        <c:grouping val="clustered"/>
        <c:varyColors val="0"/>
        <c:ser>
          <c:idx val="0"/>
          <c:order val="0"/>
          <c:tx>
            <c:v>2014</c:v>
          </c:tx>
          <c:invertIfNegative val="0"/>
          <c:cat>
            <c:strRef>
              <c:f>'Селско стопанство'!$B$55:$H$55</c:f>
              <c:strCache>
                <c:ptCount val="7"/>
                <c:pt idx="0">
                  <c:v>говеда</c:v>
                </c:pt>
                <c:pt idx="1">
                  <c:v>биволи</c:v>
                </c:pt>
                <c:pt idx="2">
                  <c:v>овце</c:v>
                </c:pt>
                <c:pt idx="3">
                  <c:v>кози</c:v>
                </c:pt>
                <c:pt idx="4">
                  <c:v>свине</c:v>
                </c:pt>
                <c:pt idx="5">
                  <c:v>птици</c:v>
                </c:pt>
                <c:pt idx="6">
                  <c:v>пчелни
семейства</c:v>
                </c:pt>
              </c:strCache>
            </c:strRef>
          </c:cat>
          <c:val>
            <c:numRef>
              <c:f>'Селско стопанство'!$B$64:$H$64</c:f>
              <c:numCache>
                <c:formatCode>General</c:formatCode>
                <c:ptCount val="7"/>
                <c:pt idx="0">
                  <c:v>11709</c:v>
                </c:pt>
                <c:pt idx="1">
                  <c:v>351</c:v>
                </c:pt>
                <c:pt idx="2">
                  <c:v>37806</c:v>
                </c:pt>
                <c:pt idx="3">
                  <c:v>14815</c:v>
                </c:pt>
                <c:pt idx="4">
                  <c:v>9777</c:v>
                </c:pt>
                <c:pt idx="5">
                  <c:v>334209</c:v>
                </c:pt>
                <c:pt idx="6">
                  <c:v>20347</c:v>
                </c:pt>
              </c:numCache>
            </c:numRef>
          </c:val>
        </c:ser>
        <c:ser>
          <c:idx val="1"/>
          <c:order val="1"/>
          <c:tx>
            <c:v>2015</c:v>
          </c:tx>
          <c:invertIfNegative val="0"/>
          <c:cat>
            <c:strRef>
              <c:f>'Селско стопанство'!$B$55:$H$55</c:f>
              <c:strCache>
                <c:ptCount val="7"/>
                <c:pt idx="0">
                  <c:v>говеда</c:v>
                </c:pt>
                <c:pt idx="1">
                  <c:v>биволи</c:v>
                </c:pt>
                <c:pt idx="2">
                  <c:v>овце</c:v>
                </c:pt>
                <c:pt idx="3">
                  <c:v>кози</c:v>
                </c:pt>
                <c:pt idx="4">
                  <c:v>свине</c:v>
                </c:pt>
                <c:pt idx="5">
                  <c:v>птици</c:v>
                </c:pt>
                <c:pt idx="6">
                  <c:v>пчелни
семейства</c:v>
                </c:pt>
              </c:strCache>
            </c:strRef>
          </c:cat>
          <c:val>
            <c:numRef>
              <c:f>'Селско стопанство'!$B$65:$H$65</c:f>
              <c:numCache>
                <c:formatCode>General</c:formatCode>
                <c:ptCount val="7"/>
                <c:pt idx="0">
                  <c:v>13051</c:v>
                </c:pt>
                <c:pt idx="1">
                  <c:v>434</c:v>
                </c:pt>
                <c:pt idx="2">
                  <c:v>46600</c:v>
                </c:pt>
                <c:pt idx="3">
                  <c:v>35753</c:v>
                </c:pt>
                <c:pt idx="4">
                  <c:v>10330</c:v>
                </c:pt>
                <c:pt idx="5">
                  <c:v>187051</c:v>
                </c:pt>
                <c:pt idx="6">
                  <c:v>23143</c:v>
                </c:pt>
              </c:numCache>
            </c:numRef>
          </c:val>
        </c:ser>
        <c:ser>
          <c:idx val="2"/>
          <c:order val="2"/>
          <c:tx>
            <c:v>2016</c:v>
          </c:tx>
          <c:invertIfNegative val="0"/>
          <c:cat>
            <c:strRef>
              <c:f>'Селско стопанство'!$B$55:$H$55</c:f>
              <c:strCache>
                <c:ptCount val="7"/>
                <c:pt idx="0">
                  <c:v>говеда</c:v>
                </c:pt>
                <c:pt idx="1">
                  <c:v>биволи</c:v>
                </c:pt>
                <c:pt idx="2">
                  <c:v>овце</c:v>
                </c:pt>
                <c:pt idx="3">
                  <c:v>кози</c:v>
                </c:pt>
                <c:pt idx="4">
                  <c:v>свине</c:v>
                </c:pt>
                <c:pt idx="5">
                  <c:v>птици</c:v>
                </c:pt>
                <c:pt idx="6">
                  <c:v>пчелни
семейства</c:v>
                </c:pt>
              </c:strCache>
            </c:strRef>
          </c:cat>
          <c:val>
            <c:numRef>
              <c:f>'Селско стопанство'!$B$66:$H$66</c:f>
              <c:numCache>
                <c:formatCode>General</c:formatCode>
                <c:ptCount val="7"/>
                <c:pt idx="0">
                  <c:v>13799</c:v>
                </c:pt>
                <c:pt idx="1">
                  <c:v>370</c:v>
                </c:pt>
                <c:pt idx="2">
                  <c:v>49043</c:v>
                </c:pt>
                <c:pt idx="3">
                  <c:v>16700</c:v>
                </c:pt>
                <c:pt idx="4">
                  <c:v>4367</c:v>
                </c:pt>
                <c:pt idx="5">
                  <c:v>286636</c:v>
                </c:pt>
                <c:pt idx="6">
                  <c:v>27794</c:v>
                </c:pt>
              </c:numCache>
            </c:numRef>
          </c:val>
        </c:ser>
        <c:dLbls>
          <c:showLegendKey val="0"/>
          <c:showVal val="0"/>
          <c:showCatName val="0"/>
          <c:showSerName val="0"/>
          <c:showPercent val="0"/>
          <c:showBubbleSize val="0"/>
        </c:dLbls>
        <c:gapWidth val="150"/>
        <c:shape val="box"/>
        <c:axId val="184576256"/>
        <c:axId val="184578048"/>
        <c:axId val="0"/>
      </c:bar3DChart>
      <c:catAx>
        <c:axId val="184576256"/>
        <c:scaling>
          <c:orientation val="minMax"/>
        </c:scaling>
        <c:delete val="0"/>
        <c:axPos val="b"/>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bg-BG"/>
          </a:p>
        </c:txPr>
        <c:crossAx val="184578048"/>
        <c:crosses val="autoZero"/>
        <c:auto val="1"/>
        <c:lblAlgn val="ctr"/>
        <c:lblOffset val="100"/>
        <c:noMultiLvlLbl val="0"/>
      </c:catAx>
      <c:valAx>
        <c:axId val="184578048"/>
        <c:scaling>
          <c:orientation val="minMax"/>
        </c:scaling>
        <c:delete val="0"/>
        <c:axPos val="l"/>
        <c:majorGridlines/>
        <c:numFmt formatCode="General" sourceLinked="1"/>
        <c:majorTickMark val="out"/>
        <c:minorTickMark val="none"/>
        <c:tickLblPos val="nextTo"/>
        <c:crossAx val="18457625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998840769903762"/>
          <c:y val="7.593759113444154E-2"/>
          <c:w val="0.84945603674540671"/>
          <c:h val="0.81271216097987753"/>
        </c:manualLayout>
      </c:layout>
      <c:bar3DChart>
        <c:barDir val="col"/>
        <c:grouping val="clustered"/>
        <c:varyColors val="0"/>
        <c:ser>
          <c:idx val="0"/>
          <c:order val="0"/>
          <c:invertIfNegative val="0"/>
          <c:dLbls>
            <c:dLbl>
              <c:idx val="0"/>
              <c:layout>
                <c:manualLayout>
                  <c:x val="1.3888888888888888E-2"/>
                  <c:y val="2.7777777777777776E-2"/>
                </c:manualLayout>
              </c:layout>
              <c:showLegendKey val="0"/>
              <c:showVal val="1"/>
              <c:showCatName val="0"/>
              <c:showSerName val="0"/>
              <c:showPercent val="0"/>
              <c:showBubbleSize val="0"/>
            </c:dLbl>
            <c:dLbl>
              <c:idx val="1"/>
              <c:layout>
                <c:manualLayout>
                  <c:x val="1.6666666666666666E-2"/>
                  <c:y val="2.7777777777777776E-2"/>
                </c:manualLayout>
              </c:layout>
              <c:showLegendKey val="0"/>
              <c:showVal val="1"/>
              <c:showCatName val="0"/>
              <c:showSerName val="0"/>
              <c:showPercent val="0"/>
              <c:showBubbleSize val="0"/>
            </c:dLbl>
            <c:dLbl>
              <c:idx val="2"/>
              <c:layout>
                <c:manualLayout>
                  <c:x val="1.9444444444444545E-2"/>
                  <c:y val="2.3148148148148147E-2"/>
                </c:manualLayout>
              </c:layout>
              <c:showLegendKey val="0"/>
              <c:showVal val="1"/>
              <c:showCatName val="0"/>
              <c:showSerName val="0"/>
              <c:showPercent val="0"/>
              <c:showBubbleSize val="0"/>
            </c:dLbl>
            <c:txPr>
              <a:bodyPr/>
              <a:lstStyle/>
              <a:p>
                <a:pPr>
                  <a:defRPr b="1"/>
                </a:pPr>
                <a:endParaRPr lang="bg-BG"/>
              </a:p>
            </c:txPr>
            <c:showLegendKey val="0"/>
            <c:showVal val="1"/>
            <c:showCatName val="0"/>
            <c:showSerName val="0"/>
            <c:showPercent val="0"/>
            <c:showBubbleSize val="0"/>
            <c:showLeaderLines val="0"/>
          </c:dLbls>
          <c:cat>
            <c:numRef>
              <c:f>'Околна среда'!$B$14:$D$14</c:f>
              <c:numCache>
                <c:formatCode>General</c:formatCode>
                <c:ptCount val="3"/>
                <c:pt idx="0">
                  <c:v>2014</c:v>
                </c:pt>
                <c:pt idx="1">
                  <c:v>2015</c:v>
                </c:pt>
                <c:pt idx="2">
                  <c:v>2016</c:v>
                </c:pt>
              </c:numCache>
            </c:numRef>
          </c:cat>
          <c:val>
            <c:numRef>
              <c:f>'Околна среда'!$B$17:$D$17</c:f>
              <c:numCache>
                <c:formatCode>General</c:formatCode>
                <c:ptCount val="3"/>
                <c:pt idx="0">
                  <c:v>123945</c:v>
                </c:pt>
                <c:pt idx="1">
                  <c:v>177329</c:v>
                </c:pt>
                <c:pt idx="2">
                  <c:v>181208</c:v>
                </c:pt>
              </c:numCache>
            </c:numRef>
          </c:val>
        </c:ser>
        <c:dLbls>
          <c:showLegendKey val="0"/>
          <c:showVal val="0"/>
          <c:showCatName val="0"/>
          <c:showSerName val="0"/>
          <c:showPercent val="0"/>
          <c:showBubbleSize val="0"/>
        </c:dLbls>
        <c:gapWidth val="150"/>
        <c:shape val="box"/>
        <c:axId val="184594816"/>
        <c:axId val="184596352"/>
        <c:axId val="0"/>
      </c:bar3DChart>
      <c:catAx>
        <c:axId val="184594816"/>
        <c:scaling>
          <c:orientation val="minMax"/>
        </c:scaling>
        <c:delete val="0"/>
        <c:axPos val="b"/>
        <c:numFmt formatCode="General" sourceLinked="1"/>
        <c:majorTickMark val="none"/>
        <c:minorTickMark val="none"/>
        <c:tickLblPos val="nextTo"/>
        <c:crossAx val="184596352"/>
        <c:crossesAt val="0"/>
        <c:auto val="1"/>
        <c:lblAlgn val="ctr"/>
        <c:lblOffset val="100"/>
        <c:noMultiLvlLbl val="0"/>
      </c:catAx>
      <c:valAx>
        <c:axId val="184596352"/>
        <c:scaling>
          <c:orientation val="minMax"/>
        </c:scaling>
        <c:delete val="0"/>
        <c:axPos val="l"/>
        <c:majorGridlines/>
        <c:numFmt formatCode="General" sourceLinked="1"/>
        <c:majorTickMark val="none"/>
        <c:minorTickMark val="none"/>
        <c:tickLblPos val="nextTo"/>
        <c:crossAx val="18459481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0.04583</cdr:x>
      <cdr:y>0.00694</cdr:y>
    </cdr:from>
    <cdr:to>
      <cdr:x>0.125</cdr:x>
      <cdr:y>0.09028</cdr:y>
    </cdr:to>
    <cdr:sp macro="" textlink="">
      <cdr:nvSpPr>
        <cdr:cNvPr id="2" name="TextBox 1"/>
        <cdr:cNvSpPr txBox="1"/>
      </cdr:nvSpPr>
      <cdr:spPr>
        <a:xfrm xmlns:a="http://schemas.openxmlformats.org/drawingml/2006/main">
          <a:off x="209550" y="19050"/>
          <a:ext cx="36195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bg-BG" sz="1100"/>
            <a:t>дка</a:t>
          </a:r>
        </a:p>
        <a:p xmlns:a="http://schemas.openxmlformats.org/drawingml/2006/main">
          <a:endParaRPr lang="bg-BG" sz="1100"/>
        </a:p>
      </cdr:txBody>
    </cdr:sp>
  </cdr:relSizeAnchor>
</c:userShapes>
</file>

<file path=word/drawings/drawing2.xml><?xml version="1.0" encoding="utf-8"?>
<c:userShapes xmlns:c="http://schemas.openxmlformats.org/drawingml/2006/chart">
  <cdr:relSizeAnchor xmlns:cdr="http://schemas.openxmlformats.org/drawingml/2006/chartDrawing">
    <cdr:from>
      <cdr:x>0.0125</cdr:x>
      <cdr:y>0.04114</cdr:y>
    </cdr:from>
    <cdr:to>
      <cdr:x>0.17083</cdr:x>
      <cdr:y>0.10711</cdr:y>
    </cdr:to>
    <cdr:sp macro="" textlink="">
      <cdr:nvSpPr>
        <cdr:cNvPr id="2" name="TextBox 1"/>
        <cdr:cNvSpPr txBox="1"/>
      </cdr:nvSpPr>
      <cdr:spPr>
        <a:xfrm xmlns:a="http://schemas.openxmlformats.org/drawingml/2006/main">
          <a:off x="57150" y="112846"/>
          <a:ext cx="723885" cy="1809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bg-BG" sz="1100"/>
            <a:t>хил.лв</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Април 2018г.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4F100B-4C35-4A0A-BB51-6EB1CF1F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10948</Words>
  <Characters>62406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Доклад</vt:lpstr>
    </vt:vector>
  </TitlesOfParts>
  <Company>Географика ООД</Company>
  <LinksUpToDate>false</LinksUpToDate>
  <CharactersWithSpaces>73208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User</dc:creator>
  <cp:lastModifiedBy>Ivan G. Getov</cp:lastModifiedBy>
  <cp:revision>2</cp:revision>
  <dcterms:created xsi:type="dcterms:W3CDTF">2018-05-08T12:56:00Z</dcterms:created>
  <dcterms:modified xsi:type="dcterms:W3CDTF">2018-05-08T12:56:00Z</dcterms:modified>
</cp:coreProperties>
</file>