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4E6935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E227D2">
        <w:rPr>
          <w:rFonts w:ascii="Verdana" w:hAnsi="Verdana"/>
          <w:b/>
          <w:color w:val="FFFFFF" w:themeColor="background1"/>
          <w:sz w:val="28"/>
          <w:lang w:val="bg-BG"/>
        </w:rPr>
        <w:t>ЛОВЕЧ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E227D2">
        <w:rPr>
          <w:rFonts w:ascii="Verdana" w:hAnsi="Verdana"/>
          <w:b/>
          <w:color w:val="FFFFFF" w:themeColor="background1"/>
          <w:sz w:val="28"/>
          <w:lang w:val="bg-BG"/>
        </w:rPr>
        <w:t>26.06.2023 г.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/дата/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</w:t>
      </w:r>
      <w:r w:rsidR="00E227D2">
        <w:rPr>
          <w:rFonts w:ascii="Verdana" w:eastAsia="Calibri" w:hAnsi="Verdana" w:cs="Times New Roman"/>
          <w:bCs/>
          <w:color w:val="000000"/>
          <w:sz w:val="20"/>
        </w:rPr>
        <w:t xml:space="preserve">26.06.2023 </w:t>
      </w:r>
      <w:r w:rsidR="00E227D2">
        <w:rPr>
          <w:rFonts w:ascii="Verdana" w:eastAsia="Calibri" w:hAnsi="Verdana" w:cs="Times New Roman"/>
          <w:bCs/>
          <w:color w:val="000000"/>
          <w:sz w:val="20"/>
          <w:lang w:val="bg-BG"/>
        </w:rPr>
        <w:t>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редовно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227D2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присъствено</w:t>
      </w:r>
      <w:r w:rsidR="00E351AF"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засе</w:t>
      </w:r>
      <w:r w:rsidR="00E227D2">
        <w:rPr>
          <w:rFonts w:ascii="Verdana" w:eastAsia="Calibri" w:hAnsi="Verdana" w:cs="Times New Roman"/>
          <w:bCs/>
          <w:color w:val="000000"/>
          <w:sz w:val="20"/>
          <w:lang w:val="bg-BG"/>
        </w:rPr>
        <w:t>дание на ОКББДП Ловеч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E227D2" w:rsidP="00166A8C">
      <w:pPr>
        <w:tabs>
          <w:tab w:val="left" w:pos="7125"/>
        </w:tabs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Представители на Областна администрация Ловеч – Председател на ОКБДП, Зам. председател на ОКБДП, секретар на ОКБДП, съгласно Заповед № </w:t>
      </w:r>
      <w:r w:rsidRPr="00E227D2">
        <w:rPr>
          <w:rFonts w:ascii="Verdana" w:hAnsi="Verdana" w:cs="Times New Roman"/>
          <w:sz w:val="20"/>
          <w:szCs w:val="20"/>
        </w:rPr>
        <w:t xml:space="preserve">РД-07-211/22.11.2022 г. </w:t>
      </w:r>
      <w:proofErr w:type="spellStart"/>
      <w:r w:rsidRPr="00E227D2">
        <w:rPr>
          <w:rFonts w:ascii="Verdana" w:hAnsi="Verdana" w:cs="Times New Roman"/>
          <w:sz w:val="20"/>
          <w:szCs w:val="20"/>
        </w:rPr>
        <w:t>на</w:t>
      </w:r>
      <w:proofErr w:type="spellEnd"/>
      <w:r w:rsidRPr="00E227D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227D2">
        <w:rPr>
          <w:rFonts w:ascii="Verdana" w:hAnsi="Verdana" w:cs="Times New Roman"/>
          <w:sz w:val="20"/>
          <w:szCs w:val="20"/>
        </w:rPr>
        <w:t>Областен</w:t>
      </w:r>
      <w:proofErr w:type="spellEnd"/>
      <w:r w:rsidRPr="00E227D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227D2">
        <w:rPr>
          <w:rFonts w:ascii="Verdana" w:hAnsi="Verdana" w:cs="Times New Roman"/>
          <w:sz w:val="20"/>
          <w:szCs w:val="20"/>
        </w:rPr>
        <w:t>управител</w:t>
      </w:r>
      <w:proofErr w:type="spellEnd"/>
      <w:r w:rsidRPr="00E227D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227D2">
        <w:rPr>
          <w:rFonts w:ascii="Verdana" w:hAnsi="Verdana" w:cs="Times New Roman"/>
          <w:sz w:val="20"/>
          <w:szCs w:val="20"/>
        </w:rPr>
        <w:t>на</w:t>
      </w:r>
      <w:proofErr w:type="spellEnd"/>
      <w:r w:rsidRPr="00E227D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227D2">
        <w:rPr>
          <w:rFonts w:ascii="Verdana" w:hAnsi="Verdana" w:cs="Times New Roman"/>
          <w:sz w:val="20"/>
          <w:szCs w:val="20"/>
        </w:rPr>
        <w:t>област</w:t>
      </w:r>
      <w:proofErr w:type="spellEnd"/>
      <w:r w:rsidRPr="00E227D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227D2">
        <w:rPr>
          <w:rFonts w:ascii="Verdana" w:hAnsi="Verdana" w:cs="Times New Roman"/>
          <w:sz w:val="20"/>
          <w:szCs w:val="20"/>
        </w:rPr>
        <w:t>Ловеч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 xml:space="preserve"> и представители на РУО Ловеч, Сектор „Пътна полиция“ към ОДМВР Ловеч</w:t>
      </w:r>
      <w:r w:rsidR="009E0AF7">
        <w:rPr>
          <w:rFonts w:ascii="Verdana" w:hAnsi="Verdana" w:cs="Times New Roman"/>
          <w:sz w:val="20"/>
          <w:szCs w:val="20"/>
          <w:lang w:val="bg-BG"/>
        </w:rPr>
        <w:t>, РДПБЗН Ловеч (онлайн) Областно пътно Управление Ловеч, Регионална дирекция на автомобилна администрация, РЗИ Ловеч, Община Априлци, Община Ловеч, Община Луковит, Община Тетевен (онлайн), Община Троян и Община Ябланица.</w:t>
      </w:r>
    </w:p>
    <w:p w:rsidR="00FF6B6F" w:rsidRPr="00E227D2" w:rsidRDefault="00FF6B6F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За пореден път на заседанието не присъстваха представители на Община Летница и Община Угърчин. Не е представена никаква информация от тези две общини.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E227D2">
        <w:rPr>
          <w:rFonts w:ascii="Verdana" w:eastAsia="Calibri" w:hAnsi="Verdana" w:cs="Times New Roman"/>
          <w:bCs/>
          <w:color w:val="000000"/>
          <w:sz w:val="20"/>
          <w:lang w:val="bg-BG"/>
        </w:rPr>
        <w:t>10:30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редседател на ОКБДП </w:t>
      </w:r>
      <w:r w:rsidR="00E227D2">
        <w:rPr>
          <w:rFonts w:ascii="Verdana" w:eastAsia="Calibri" w:hAnsi="Verdana" w:cs="Times New Roman"/>
          <w:bCs/>
          <w:color w:val="000000"/>
          <w:sz w:val="20"/>
          <w:lang w:val="bg-BG"/>
        </w:rPr>
        <w:t>инж. Светослав Славчев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Pr="00B540B0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и материалите към дневния ред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редставяне на текуща </w:t>
            </w:r>
            <w:r w:rsidRPr="00B540B0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членовете </w:t>
            </w:r>
          </w:p>
          <w:p w:rsidR="007C519A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7C519A" w:rsidRPr="00B540B0" w:rsidRDefault="007C519A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37714F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3/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реглед на изпълнението на решения от предходни заседания </w:t>
            </w:r>
          </w:p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4/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7C519A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5/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писък на решенията от заседанието на ОКБДП </w:t>
            </w:r>
          </w:p>
          <w:p w:rsidR="00166A8C" w:rsidRPr="00B540B0" w:rsidRDefault="00166A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192E72" w:rsidRPr="00192E72" w:rsidRDefault="00192E72" w:rsidP="00192E7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Verdana" w:hAnsi="Verdana" w:cs="Times New Roman"/>
          <w:bCs/>
          <w:sz w:val="24"/>
          <w:szCs w:val="24"/>
        </w:rPr>
      </w:pP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lastRenderedPageBreak/>
        <w:t>Докладване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съответните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членове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областната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комисия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изпълнени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мерки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областната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план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–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програма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първото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и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второ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тримесечие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2023 г.;</w:t>
      </w:r>
    </w:p>
    <w:p w:rsidR="00192E72" w:rsidRPr="00192E72" w:rsidRDefault="00192E72" w:rsidP="00192E7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Verdana" w:hAnsi="Verdana" w:cs="Times New Roman"/>
          <w:bCs/>
          <w:sz w:val="24"/>
          <w:szCs w:val="24"/>
        </w:rPr>
      </w:pP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Докладване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представител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РУО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Ловеч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за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обезопасяване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на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районите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около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училища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,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детски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градини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и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центровете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за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подкрепа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за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личностно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развитие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(ЦПЛР);</w:t>
      </w:r>
    </w:p>
    <w:p w:rsidR="00192E72" w:rsidRPr="00192E72" w:rsidRDefault="00192E72" w:rsidP="00192E7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Verdana" w:hAnsi="Verdana" w:cs="Times New Roman"/>
          <w:bCs/>
          <w:sz w:val="24"/>
          <w:szCs w:val="24"/>
        </w:rPr>
      </w:pP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Обсъждане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eastAsia="Calibri" w:hAnsi="Verdana" w:cs="Times New Roman"/>
          <w:sz w:val="24"/>
          <w:szCs w:val="24"/>
        </w:rPr>
        <w:t>на</w:t>
      </w:r>
      <w:proofErr w:type="spellEnd"/>
      <w:r w:rsidRPr="00192E7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sz w:val="24"/>
          <w:szCs w:val="24"/>
        </w:rPr>
        <w:t>Правила</w:t>
      </w:r>
      <w:proofErr w:type="spellEnd"/>
      <w:r w:rsidRPr="00192E7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предоставяне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финансова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подкрепа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общините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през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2023 г.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Държавна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агенция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„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Безопасност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движението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пътищата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“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изпълнение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процедура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управление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безопасността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пътната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инфраструктура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–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целенасочени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инспекции</w:t>
      </w:r>
      <w:proofErr w:type="spellEnd"/>
      <w:r w:rsidRPr="00192E7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пътна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безопасност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и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изпълнение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преки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коригиращи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действия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>;</w:t>
      </w:r>
    </w:p>
    <w:p w:rsidR="00192E72" w:rsidRPr="00192E72" w:rsidRDefault="00192E72" w:rsidP="00192E7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 New Roman"/>
          <w:bCs/>
          <w:color w:val="000000"/>
          <w:sz w:val="24"/>
          <w:szCs w:val="24"/>
          <w:lang w:eastAsia="bg-BG"/>
        </w:rPr>
      </w:pP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Организация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за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участие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в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мероприятия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,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свързани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с „29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юни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–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ден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безопасността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движение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пътищата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“,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съгласно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възможностите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, с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които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разполага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всяка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институция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,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която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има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отношение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проблемите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безопасност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на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движението</w:t>
      </w:r>
      <w:proofErr w:type="spellEnd"/>
      <w:r w:rsidRPr="00192E72">
        <w:rPr>
          <w:rFonts w:ascii="Verdana" w:hAnsi="Verdana" w:cs="Times New Roman"/>
          <w:bCs/>
          <w:sz w:val="24"/>
          <w:szCs w:val="24"/>
        </w:rPr>
        <w:t>.</w:t>
      </w:r>
    </w:p>
    <w:p w:rsidR="00192E72" w:rsidRPr="00192E72" w:rsidRDefault="00192E72" w:rsidP="00192E7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Verdana" w:hAnsi="Verdana" w:cs="Times New Roman"/>
          <w:bCs/>
          <w:sz w:val="24"/>
          <w:szCs w:val="24"/>
        </w:rPr>
      </w:pPr>
      <w:proofErr w:type="spellStart"/>
      <w:r w:rsidRPr="00192E72">
        <w:rPr>
          <w:rFonts w:ascii="Verdana" w:hAnsi="Verdana" w:cs="Times New Roman"/>
          <w:bCs/>
          <w:sz w:val="24"/>
          <w:szCs w:val="24"/>
        </w:rPr>
        <w:t>Други</w:t>
      </w:r>
      <w:proofErr w:type="spellEnd"/>
    </w:p>
    <w:p w:rsidR="00192E72" w:rsidRPr="0061560B" w:rsidRDefault="00192E72" w:rsidP="00192E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Pr="00603A60" w:rsidRDefault="00C11FFD" w:rsidP="00603A60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:rsidR="00192E72" w:rsidRDefault="00192E72" w:rsidP="00192E72">
      <w:pPr>
        <w:tabs>
          <w:tab w:val="left" w:pos="7125"/>
        </w:tabs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 w:rsidRPr="00192E72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Докладване от съответните членове на областната комисия по изпълнени мерки от областната план – програма за първот</w:t>
      </w:r>
      <w:r w:rsid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о и второ тримесечие на 2023 г.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</w:t>
      </w:r>
      <w:r w:rsidR="00192E72">
        <w:rPr>
          <w:rFonts w:ascii="Verdana" w:eastAsia="Calibri" w:hAnsi="Verdana" w:cs="Times New Roman"/>
          <w:bCs/>
          <w:i/>
          <w:color w:val="000000"/>
          <w:sz w:val="20"/>
        </w:rPr>
        <w:t xml:space="preserve"> </w:t>
      </w:r>
      <w:r w:rsidR="00192E72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на институция или община от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9455AC" w:rsidRPr="009455AC" w:rsidRDefault="009455AC" w:rsidP="00192E72">
      <w:pPr>
        <w:pStyle w:val="ListParagraph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Default="003A64E0" w:rsidP="00192E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</w:t>
            </w:r>
            <w:r w:rsidR="00192E7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</w:p>
          <w:p w:rsidR="00192E72" w:rsidRPr="00F83E7B" w:rsidRDefault="00192E72" w:rsidP="00192E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Априлци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Почистване на крайпътните пространства на общинската и 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републиканска пътна мрежа на територията на Община Априлци от 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храстовидна и дървесна растителност с цел подобряване на 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видимостта и движението.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След извършен оглед от общинска администрация са подменени 14 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броя пътни знаци.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Изграждани са 300 метра  тротоари и банкети в кв. „Видима“, 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ул. „</w:t>
            </w:r>
            <w:proofErr w:type="spellStart"/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Орловска</w:t>
            </w:r>
            <w:proofErr w:type="spellEnd"/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“ и ул. „Марко Семов“.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Полагане на 300 метра пътна маркировка в центъра на кв. „Видима“ 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FF6B6F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192E72" w:rsidTr="008E0047">
        <w:tc>
          <w:tcPr>
            <w:tcW w:w="2013" w:type="dxa"/>
            <w:shd w:val="clear" w:color="auto" w:fill="FFFFFF" w:themeFill="background1"/>
          </w:tcPr>
          <w:p w:rsidR="00192E72" w:rsidRDefault="00192E72" w:rsidP="008E004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</w:t>
            </w:r>
          </w:p>
          <w:p w:rsidR="00192E72" w:rsidRPr="00F83E7B" w:rsidRDefault="00192E72" w:rsidP="008E004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Ловеч</w:t>
            </w:r>
          </w:p>
        </w:tc>
        <w:tc>
          <w:tcPr>
            <w:tcW w:w="8755" w:type="dxa"/>
            <w:shd w:val="clear" w:color="auto" w:fill="auto"/>
          </w:tcPr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Хоризонтална маркировка – 1352 м² - 33 080,75 лв. 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Пеш. пътеки – 38 бр. (Заличени – 5 бр. – ул. „Търговска“; Инвалидни  паркоместа – 3 бр.)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Стълбчета – 36 бр. – 4 728,16 лв.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Знаци – 40 бр. – 3 883,13 лв.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Ремонт на стари знаци – 13 бр. – 148 лв.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proofErr w:type="spellStart"/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Анти</w:t>
            </w:r>
            <w:proofErr w:type="spellEnd"/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паркинг стълбчета – 8 бр. – 939 лв.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Декоративни пана – 7 бр. – 2 456 лв.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Дървета, храсти клони ОП(У)М – дървета – 6 бр. – 786 лв.; </w:t>
            </w:r>
          </w:p>
          <w:p w:rsidR="00192E72" w:rsidRPr="00FF6B6F" w:rsidRDefault="00FF6B6F" w:rsidP="00FF6B6F">
            <w:p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храсти – 6 000 м² - 16 920 лв.</w:t>
            </w:r>
          </w:p>
        </w:tc>
      </w:tr>
    </w:tbl>
    <w:p w:rsidR="00192E72" w:rsidRDefault="00192E72" w:rsidP="00192E72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FF6B6F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192E72" w:rsidTr="008E0047">
        <w:tc>
          <w:tcPr>
            <w:tcW w:w="2013" w:type="dxa"/>
            <w:shd w:val="clear" w:color="auto" w:fill="FFFFFF" w:themeFill="background1"/>
          </w:tcPr>
          <w:p w:rsidR="00192E72" w:rsidRDefault="00192E72" w:rsidP="008E004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92E72" w:rsidRPr="00F83E7B" w:rsidRDefault="00192E72" w:rsidP="008E004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Луковит</w:t>
            </w:r>
          </w:p>
        </w:tc>
        <w:tc>
          <w:tcPr>
            <w:tcW w:w="8755" w:type="dxa"/>
            <w:shd w:val="clear" w:color="auto" w:fill="auto"/>
          </w:tcPr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Годишна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представени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областната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1 и 2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представени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Извършени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огледи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пътната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съставен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№1 с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участъци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пътното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нарушена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настилка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предаден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звеното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попълване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участъците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нуждите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закупена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Печматик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   143 732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ДДС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Правят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огледи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останалите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гр.Луковит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също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коригирани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гледна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неравностите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Работим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сигнали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РУ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МВР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  -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подмяна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знаци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Реагира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отстраняват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нередностите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Бежаново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междуведомствена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установяване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мястото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законосъобразността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поставяне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изкуствени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неравности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пешеходна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пътека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Очакваме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огледа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Представен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Генерален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фирмата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изпълнител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04.07.2023 г.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предварителен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Довършено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асфалтиране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Методий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Монтирани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8бр.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изкуствени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неравности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Методий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планирани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6бр.  и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монтирани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още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3бр.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допълнително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  в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9450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с ДДС,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представляващи</w:t>
            </w:r>
            <w:proofErr w:type="spellEnd"/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гумени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ограничаващи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скоростта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30км и  22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крайни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елемента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Закупени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комплекти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знаци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Методий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  и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"  в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3539,50 с ДДС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Закупено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монтирано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осветление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изискване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пешеходни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пътеки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- 1бр. с.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Тодоричене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2бр.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</w:t>
            </w:r>
            <w:proofErr w:type="spellEnd"/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Закупени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монтирани</w:t>
            </w:r>
            <w:proofErr w:type="spellEnd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  11</w:t>
            </w:r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пътни</w:t>
            </w:r>
            <w:proofErr w:type="spellEnd"/>
            <w:proofErr w:type="gram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знаци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3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Тодоричене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Бежаново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Ъглен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Закупена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маркировъчна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боя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опресняване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пешеходни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пътеки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Извършени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почистване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храсти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дървета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участък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пътя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Луковит-Карлуково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Петревене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Тодоричене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Тодоричене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Дъбен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Дъбен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Торос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Изпълняват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постоянни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поддържане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смяна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осветлението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пътните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отсечки</w:t>
            </w:r>
            <w:proofErr w:type="spellEnd"/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92E72" w:rsidRDefault="00192E72" w:rsidP="00FF6B6F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192E72" w:rsidRDefault="00192E72" w:rsidP="00192E72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FF6B6F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192E72" w:rsidTr="008E0047">
        <w:tc>
          <w:tcPr>
            <w:tcW w:w="2013" w:type="dxa"/>
            <w:shd w:val="clear" w:color="auto" w:fill="FFFFFF" w:themeFill="background1"/>
          </w:tcPr>
          <w:p w:rsidR="00192E72" w:rsidRPr="00F83E7B" w:rsidRDefault="00192E72" w:rsidP="00192E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 Тетевен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755" w:type="dxa"/>
            <w:shd w:val="clear" w:color="auto" w:fill="auto"/>
          </w:tcPr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Генералния план на Община Тетевен е одобрен със Заповед от 16.06.2023 г. и </w:t>
            </w:r>
          </w:p>
          <w:p w:rsidR="00FF6B6F" w:rsidRPr="00FF6B6F" w:rsidRDefault="00FF6B6F" w:rsidP="00FF6B6F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ще влезе в сила на 30.06.2023 г. След това, съобразено със средствата, с които общината разполага, поетапно  ще бъдат подменяни знаци от знаковото стопанство.</w:t>
            </w:r>
          </w:p>
          <w:p w:rsid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Голяма част от дейностите, насочени към основни и текущи ремонти на улици, 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предвидени в инвестиционната ни програма за 2023 г. са вече извършени. </w:t>
            </w:r>
          </w:p>
          <w:p w:rsidR="00192E72" w:rsidRPr="00FF6B6F" w:rsidRDefault="00FF6B6F" w:rsidP="00FF6B6F">
            <w:p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Поетапно се предприемат действия по поддръжка на затревените площи.</w:t>
            </w:r>
          </w:p>
        </w:tc>
      </w:tr>
    </w:tbl>
    <w:p w:rsidR="00192E72" w:rsidRDefault="00192E72" w:rsidP="00192E72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FF6B6F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192E72" w:rsidTr="008E0047">
        <w:tc>
          <w:tcPr>
            <w:tcW w:w="2013" w:type="dxa"/>
            <w:shd w:val="clear" w:color="auto" w:fill="FFFFFF" w:themeFill="background1"/>
          </w:tcPr>
          <w:p w:rsidR="00192E72" w:rsidRPr="00F83E7B" w:rsidRDefault="00192E72" w:rsidP="008E004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 Т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роян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755" w:type="dxa"/>
            <w:shd w:val="clear" w:color="auto" w:fill="auto"/>
          </w:tcPr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А. 2023 Ремонтирани улични и тротоарни настилки гр. Троян.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Ремонтирани улични настилки, цялостно </w:t>
            </w:r>
            <w:proofErr w:type="spellStart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преасфалтирани</w:t>
            </w:r>
            <w:proofErr w:type="spellEnd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площ 5100 </w:t>
            </w:r>
            <w:proofErr w:type="spellStart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кв.м</w:t>
            </w:r>
            <w:proofErr w:type="spellEnd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. и изкърпени с площ 835 </w:t>
            </w:r>
            <w:proofErr w:type="spellStart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кв.м</w:t>
            </w:r>
            <w:proofErr w:type="spellEnd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Изпълнените работи са в размер на 408 628,00 лв.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Ремонтирани тротоарни настилки с обща площ 1651,00 </w:t>
            </w:r>
            <w:proofErr w:type="spellStart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кв.м</w:t>
            </w:r>
            <w:proofErr w:type="spellEnd"/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 положени са 428 м бордюри. Изпълнените работи са в размер на 136 318,00 лв.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Б. Хоризонтална маркировка – 60 000 лв. 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Предстои изпълнение на дейности по полагане на хоризонтална маркировка на територията на гр. Троян след подобряване на метеорологичната обстановка.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В. Ремонт улична мрежа в населените места от Община Троян -1 300 000лв. 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ход е изпълнението на ремонтните дейности по улична мрежа в населените места от Община Троян. Предвидено е подобряване на експлоатационните показатели с цел безопасна експлоатация.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Г. Ремонт общинска пътна мрежа – 300 000 лв. </w:t>
            </w:r>
          </w:p>
          <w:p w:rsidR="00FF6B6F" w:rsidRPr="00587D5D" w:rsidRDefault="00FF6B6F" w:rsidP="00FF6B6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ход е изпълнението на ремонтните дейности по общинска пътна мрежа на територията на Община Троян.</w:t>
            </w:r>
            <w:r w:rsidRPr="00587D5D">
              <w:rPr>
                <w:rFonts w:ascii="Calibri" w:eastAsia="Calibri" w:hAnsi="Calibri" w:cs="Times New Roman"/>
                <w:sz w:val="24"/>
                <w:szCs w:val="24"/>
                <w:lang w:val="bg-BG"/>
              </w:rPr>
              <w:t xml:space="preserve"> </w:t>
            </w:r>
            <w:r w:rsidRPr="00587D5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Предвидено е подобряване на експлоатационните показатели с цел безопасна експлоатация.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92E72" w:rsidRDefault="00192E72" w:rsidP="008E0047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192E72" w:rsidRDefault="00192E72" w:rsidP="00192E72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FF6B6F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192E72" w:rsidTr="008E0047">
        <w:tc>
          <w:tcPr>
            <w:tcW w:w="2013" w:type="dxa"/>
            <w:shd w:val="clear" w:color="auto" w:fill="FFFFFF" w:themeFill="background1"/>
          </w:tcPr>
          <w:p w:rsidR="00192E72" w:rsidRDefault="00192E72" w:rsidP="00192E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192E72" w:rsidRPr="00F83E7B" w:rsidRDefault="00192E72" w:rsidP="00192E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Ябла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ица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755" w:type="dxa"/>
            <w:shd w:val="clear" w:color="auto" w:fill="auto"/>
          </w:tcPr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192E72" w:rsidRDefault="00192E72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Мерки за подобряване на пътната </w:t>
            </w:r>
            <w:proofErr w:type="spellStart"/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безопастност</w:t>
            </w:r>
            <w:proofErr w:type="spellEnd"/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в Община Ябланица по 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Подмяна на пътни знаци и поставяне на липсващи.</w:t>
            </w:r>
          </w:p>
          <w:p w:rsid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Поставяне на светещи пътни знаци тип пешеходна пътека в 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ра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й</w:t>
            </w: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она на училището и в централната част на гр. Ябланица.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lastRenderedPageBreak/>
              <w:t>Поетапно подменяне на уличното осветление в цялата община.</w:t>
            </w:r>
          </w:p>
          <w:p w:rsid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Предстои обявяване на обществена поръчка за асфалтиране, ремонт и </w:t>
            </w:r>
          </w:p>
          <w:p w:rsidR="00FF6B6F" w:rsidRPr="00FF6B6F" w:rsidRDefault="00FF6B6F" w:rsidP="00FF6B6F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създаване на нови улици в Община Ябланица.</w:t>
            </w:r>
          </w:p>
          <w:p w:rsidR="00192E72" w:rsidRPr="00FF6B6F" w:rsidRDefault="00FF6B6F" w:rsidP="00FF6B6F">
            <w:p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FF6B6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Почистване на тротоари и крайпътна растителност в Община Ябланица. </w:t>
            </w:r>
          </w:p>
        </w:tc>
      </w:tr>
    </w:tbl>
    <w:p w:rsidR="00192E72" w:rsidRDefault="00192E72" w:rsidP="00192E72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FF6B6F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p w:rsidR="00192E72" w:rsidRDefault="00192E72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92E72" w:rsidRPr="00C11FFD" w:rsidRDefault="00192E72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E15B79">
      <w:pPr>
        <w:pStyle w:val="ListParagraph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C42460">
            <w:pPr>
              <w:ind w:left="3"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="00C42460" w:rsidRP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723750" w:rsidRDefault="0072375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От сектор „Пътна полиция“ към ОДМВР Ловеч докладваха за извършени акции </w:t>
            </w:r>
          </w:p>
          <w:p w:rsidR="003A64E0" w:rsidRDefault="0072375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на територията на област Ловеч и за изготвени сигнални писма до стопаните на</w:t>
            </w:r>
          </w:p>
          <w:p w:rsidR="00723750" w:rsidRDefault="0072375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пътищата за отстраняване на нередности по опасни пътни участъци.</w:t>
            </w:r>
          </w:p>
          <w:p w:rsidR="00723750" w:rsidRDefault="00723750" w:rsidP="00723750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9455AC" w:rsidRPr="00C11FFD" w:rsidRDefault="00603A60" w:rsidP="0072375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723750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  <w:r w:rsidR="00723750"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9455AC"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E15B79">
      <w:pPr>
        <w:pStyle w:val="ListParagraph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603A60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80"/>
        <w:gridCol w:w="9288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="00FB3E21"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 w:rsidR="00FB3E2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Дейността по текущ ремонт и поддържане и зимно поддържане на републиканските пътища на територията на Област Ловеч се осъществява по сключен петгодишен договор РД-38-66/27.10.202</w:t>
            </w:r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 с Консорциум „ВИАСТРОЙ - Т” за зимно поддържане и възстановителни работи при аварийни ситуации по републиканските пътища на територията на СЕВЕРОЗАПАДЕН РАЙОН, за обособена позиция №4 – ОПУ Ловеч.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Към 01.06.2023г. са изпълнени и отчетени следните видове и количества работи:</w:t>
            </w:r>
          </w:p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Изкърпване на повредени площи, дупки и деформации по настилката – 33 005,12 м2, на стойност 1 070 623,43 лв. с ДДС, от които:</w:t>
            </w:r>
          </w:p>
          <w:tbl>
            <w:tblPr>
              <w:tblW w:w="7600" w:type="dxa"/>
              <w:tblInd w:w="14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0"/>
              <w:gridCol w:w="1380"/>
              <w:gridCol w:w="1360"/>
              <w:gridCol w:w="1380"/>
            </w:tblGrid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І-ви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15270,60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530 441,55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ІІ-ри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1483,21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53 896,56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ІІІ-ти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15801,31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м2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486 285,32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</w:tbl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Дейности по подобряване на отводняването - подравняване и попълване на банкети, почистване на окопи, почистване на 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регули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почистване на италиански улеи и др. на стойност - 153 474.96 лв. с ДДС, от които:</w:t>
            </w:r>
          </w:p>
          <w:tbl>
            <w:tblPr>
              <w:tblW w:w="7600" w:type="dxa"/>
              <w:tblInd w:w="14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0"/>
              <w:gridCol w:w="1380"/>
              <w:gridCol w:w="1360"/>
              <w:gridCol w:w="1380"/>
            </w:tblGrid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І-ви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20 330,91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>ІІ-ри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98 258,11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ІІІ-ти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34 885,94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</w:tbl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Ландшафтно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оформяне  - изсичане на храсти, ограничаващи видимостта, косене на банкети, отсичане на опасни дървета на стойност 153 537.81 лв. с ДДС:</w:t>
            </w:r>
          </w:p>
          <w:tbl>
            <w:tblPr>
              <w:tblW w:w="7655" w:type="dxa"/>
              <w:tblInd w:w="12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0"/>
              <w:gridCol w:w="1380"/>
              <w:gridCol w:w="1360"/>
              <w:gridCol w:w="1435"/>
            </w:tblGrid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І-ви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87 493,10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ІІ-ри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34 341,46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  <w:tr w:rsidR="00FF6B6F" w:rsidRPr="00FF6B6F" w:rsidTr="008E0047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ІІІ-ти клас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31 703,25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B6F" w:rsidRPr="00FF6B6F" w:rsidRDefault="00FF6B6F" w:rsidP="00FF6B6F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FF6B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лв. с ДДС</w:t>
                  </w:r>
                </w:p>
              </w:tc>
            </w:tr>
          </w:tbl>
          <w:p w:rsidR="00FF6B6F" w:rsidRPr="00FF6B6F" w:rsidRDefault="00FF6B6F" w:rsidP="00FF6B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Подравняване на банкети – общо 47 052 м</w:t>
            </w:r>
          </w:p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Попълване на банкети - 3 138 м</w:t>
            </w:r>
          </w:p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Почистване на окопи и италиански улеи – 2 508 м</w:t>
            </w:r>
          </w:p>
          <w:p w:rsidR="00FF6B6F" w:rsidRPr="00FF6B6F" w:rsidRDefault="00FF6B6F" w:rsidP="00FF6B6F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Почистване на 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регули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– 30 291 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Работите по одобрените задания продължават.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Във връзка с изпълнението на предвидените мерки от областната план-програма по БДП за 2023г. Областно пътно управление Ловеч Ви предоставя следната информация: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Проведени са открити процедури за възлагане изработване на технически проекти </w:t>
            </w: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извършване на основен ремонт на обект:</w:t>
            </w:r>
          </w:p>
          <w:p w:rsidR="00FF6B6F" w:rsidRPr="00FF6B6F" w:rsidRDefault="00FF6B6F" w:rsidP="00FF6B6F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Път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III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-3504 Ловеч – Радювене – Орляне – Угърчин от км 0+000 до км 30+995</w:t>
            </w:r>
          </w:p>
          <w:p w:rsidR="00FF6B6F" w:rsidRPr="00FF6B6F" w:rsidRDefault="00FF6B6F" w:rsidP="00FF6B6F">
            <w:pPr>
              <w:numPr>
                <w:ilvl w:val="0"/>
                <w:numId w:val="38"/>
              </w:numPr>
              <w:shd w:val="clear" w:color="auto" w:fill="FFFFFF" w:themeFill="background1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 xml:space="preserve">Път </w:t>
            </w: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II-35 </w:t>
            </w: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Плевен – Ловеч – Троян – Кърнаре по две обособени позиции:</w:t>
            </w:r>
          </w:p>
          <w:p w:rsidR="00FF6B6F" w:rsidRPr="00FF6B6F" w:rsidRDefault="00FF6B6F" w:rsidP="00FF6B6F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Обособена позиция 1: Път </w:t>
            </w:r>
            <w:r w:rsidRPr="00FF6B6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-35 Плевен – Ловеч от км 25+450 до км 37+382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Обособена позиция 2: път</w:t>
            </w:r>
            <w:r w:rsidRPr="00FF6B6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-35 Троян – Кърнаре от км 84+725 до км 103+055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процедурите има влезли в сила решения за избор на изпълнител. Предстои подписване на договори за изпълнение на обществените поръчки.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изпълнение през 2023г. в програмата са предложени следните обекти: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Обект: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Път 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-3 Гара Бяла – 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о.п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. Плевен – Луковит – 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Коритна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– Ябланица от км 162+000 до км 170+730.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Обект: Път ІІ-35 Ловеч – Троян от км 66+410 до км 71+000.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Обект: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Път 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III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-307 Луковит – Дерманци – Угърчин от км 0+000 до км 21+720.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Обект: Път III-357 (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о.п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Ловеч – Троян) – Орешак – (Велчево – Дебнево) от 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км 0+000 до км 14+949.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Път 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III</w:t>
            </w:r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-402 (Български извор – Микре) – Борима – Дълбок дол – гара Добродан(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о.п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Ловеч-Троян) от км 21+869 до км 30+548.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 xml:space="preserve">Ремонт на мост при км 32+293 на път </w:t>
            </w: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III</w:t>
            </w: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-3402 Пордим – Вълчитрън – Дойренци</w:t>
            </w:r>
          </w:p>
          <w:p w:rsidR="00FF6B6F" w:rsidRPr="00FF6B6F" w:rsidRDefault="00FF6B6F" w:rsidP="00FF6B6F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 xml:space="preserve">Път </w:t>
            </w: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III</w:t>
            </w:r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-305 (</w:t>
            </w:r>
            <w:proofErr w:type="spellStart"/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о.п</w:t>
            </w:r>
            <w:proofErr w:type="spellEnd"/>
            <w:r w:rsidRPr="00FF6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. Плевен – Луковит) – Крушовица – Садовец – Дерманци - Торос – Гложене от км 25+000 до км 62+281.</w:t>
            </w:r>
          </w:p>
          <w:p w:rsidR="00FF6B6F" w:rsidRPr="00FF6B6F" w:rsidRDefault="00FF6B6F" w:rsidP="00FF6B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6B6F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bg-BG"/>
              </w:rPr>
              <w:t xml:space="preserve">Посочените обекти за строителство са с изготвени технологични проекти съгласувани с Института по пътища и мостове. Същите ще се изпълняват при наличие на финансов ресурс след включване в програмите на Агенция „Пътна инфраструктура“. </w:t>
            </w:r>
            <w:r w:rsidRPr="00FF6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A64E0" w:rsidRDefault="003A64E0" w:rsidP="00FF6B6F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723750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603A60" w:rsidRPr="00FF6B6F" w:rsidRDefault="009455AC" w:rsidP="00C11FFD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Default="009455AC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lastRenderedPageBreak/>
        <w:t>ПО ТОЧКА 3</w:t>
      </w:r>
    </w:p>
    <w:p w:rsidR="00E15B79" w:rsidRDefault="00E15B79" w:rsidP="00E15B79">
      <w:pPr>
        <w:spacing w:after="0" w:line="240" w:lineRule="auto"/>
        <w:ind w:right="-1123"/>
        <w:contextualSpacing/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</w:pP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Докладване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от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представител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РУО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Ловеч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обезопасяване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районите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</w:p>
    <w:p w:rsidR="00E15B79" w:rsidRPr="00E15B79" w:rsidRDefault="00E15B79" w:rsidP="00E15B79">
      <w:pPr>
        <w:spacing w:after="0" w:line="240" w:lineRule="auto"/>
        <w:ind w:right="-1123"/>
        <w:contextualSpacing/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proofErr w:type="spellStart"/>
      <w:proofErr w:type="gram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около</w:t>
      </w:r>
      <w:proofErr w:type="spellEnd"/>
      <w:proofErr w:type="gram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училища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,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детски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градини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и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центровете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подкрепа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личностно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развитие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(ЦПЛР)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.</w:t>
      </w:r>
    </w:p>
    <w:p w:rsidR="00E15B79" w:rsidRPr="00E15B79" w:rsidRDefault="00E15B79" w:rsidP="00E15B79">
      <w:pPr>
        <w:spacing w:after="0" w:line="240" w:lineRule="auto"/>
        <w:ind w:right="-1123"/>
        <w:contextualSpacing/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</w:p>
    <w:p w:rsidR="009455AC" w:rsidRPr="00C11FFD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</w:t>
      </w:r>
      <w:r w:rsidR="00E15B79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РУО Ловеч и участник в ОКБДП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E15B79" w:rsidTr="008E0047">
        <w:tc>
          <w:tcPr>
            <w:tcW w:w="2013" w:type="dxa"/>
            <w:shd w:val="clear" w:color="auto" w:fill="FFFFFF" w:themeFill="background1"/>
          </w:tcPr>
          <w:p w:rsidR="00E15B79" w:rsidRPr="00F83E7B" w:rsidRDefault="00E15B79" w:rsidP="008E004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</w:tc>
        <w:tc>
          <w:tcPr>
            <w:tcW w:w="8755" w:type="dxa"/>
            <w:shd w:val="clear" w:color="auto" w:fill="auto"/>
          </w:tcPr>
          <w:p w:rsidR="00E15B79" w:rsidRDefault="00E15B79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информация по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образец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E15B79" w:rsidRDefault="00E15B79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E15B79" w:rsidRDefault="00E15B79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E15B79" w:rsidRDefault="00E15B79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8E33C5" w:rsidRPr="0057182A" w:rsidRDefault="008E33C5" w:rsidP="008E33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НЕОБХОДИМОСТ ОТ ОБЕЗОПАСЯВАНЕ НА РАЙОНИТЕ ОКОЛО ДЕТСКИ ГРАДИНИ, УЧИЛИЩА И ЦПЛР НА ТЕРИТОРИЯТА НА ОБЛАСТ ЛОВЕЧ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Априлци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СУ „Васил Левски“ – гр. Априлци: подновяване на пешеходната пътека и поставяне на светлинна маркировка.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Летница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СУ „Бачо Киро“ – гр. Летница: поставяне на повдигнати пешеходни пътеки на прилежащите на училището улици; поставяне на пътни знаци, ограничаващи скоростта на 30 км.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Ловеч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„Кокиче“ – с. Дойренци: няма пътни знаци за ограничаване на скоростта на МПС, преминаващи край ДГ;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„Снежанка“ – гр. Ловеч: необходимост от обезопасяване на района около ДГ с пътен знак „Внимание деца“ и/или пешеходна пътека;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ППМГ – гр. Ловеч: улицата пред гимназията е включена в проект за ремонт и предстои маркиране на пешеходни пътеки;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- ОУ „Панайот </w:t>
            </w:r>
            <w:proofErr w:type="spellStart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Пипков</w:t>
            </w:r>
            <w:proofErr w:type="spellEnd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 – гр. Ловеч: има пешеходни пътеки, но е необходими да бъдат тип „Легнал полицай“; поставяне на знаци „Внимание деца“;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ПГМЕТ – гр. Ловеч: поставяне на пътни знаци за ограничаване скоростта на движението в района на училището и за забрана за паркиране пред входа на училището;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ОУ „Васил Левски“ – гр. Ловеч: пропаднали са тротоарните плочки от южната страна на училището към ул. „Цачо Шишков“ и района на старата банка;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ПГИТУ – гр. Ловеч: необходимост от свободна тротоарна площ за движение на пешеходци от ж. п. прелеза до училището и изместване на пешеходната пътека в район, подходящ за преминаване;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- ПЕГ „Екзарх Йосиф 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t>I” –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гр. Ловеч: в резултат на трайно паркирали автомобили е затруднен достъпа до входа на училището, с което ежедневно се създава предпоставка за инциденти и риск от ПТП; наложително е поставяне на пътен знак за ограничаване на скоростта на 30 км.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Луковит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„Звънче“ – гр. Луковит: в района на ДГ да бъде поставен пътен знак „ДЕЦА!“;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„Торос“ – с. Торос: поставяне на „Легнал полицай“ и пътен знак „Внимание деца“;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- СУ „Алеко Константинов“ – гр. Луковит: училището се намира на Републикански път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възможност поставяне на ограничител на скоростта от тип „легнал полицай“;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ПГСС „Сергей Румянцев“ – гр. Луковит: поставяне на предупредителни пътни знаци „Внимание деца“; ограничителни знаци за ограничаване на скоростта – 30 км.; пешеходни пътеки до входа на училището и съответните пътни знаци за това (всичко е описано и подадено с уведомително писмо до общината, но все още няма реакция).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Тетевен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„Васил Левски“ – гр. Тетевен: желателно е сутрин да има патрулка/полицай, тъй като улицата е тясна, а по нея минават колите и за СУ „Георги Бенковски“. Особено през зимния сезон е много опасно;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„Детелина“ – гр. Тетевен: няма знак в близост до ДГ за ограничаване на скоростта – има необходимост от поставяне на допълнителни знаци, тъй като улицата е много тясна и е двупосочна; пътната настилка около ДГ не е в добро състояние, за което общината е уведомена;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ДГ „Изгрев“ – с. Глогово: освежаване на пешеходната пътека срещу входа на ДГ и знак за ограничаване на скоростта;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СУ „Георги Бенковски“ – гр. Тетевен: поставяне на пътни знаци, които да указват, че в близост се намира училище и да ограничават скоростта на МПС; подобряване състоянието на компрометираната принадлежаща към училището пътна настилка и други необходими мерки по преценка на експертите;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ОУ „Христо Ботев“ – с. Глогово: директорът с искане с изх. № 013 от 16.11.2022 г. до общината е сигнализирала, че е необходимо да се маркират отново лентите на пешеходната пътека пред училището, тъй като е изцяло изтрита, но до момента няма реакция от страна на общината;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НПГСГД „Сава Младенов</w:t>
            </w:r>
            <w:proofErr w:type="gramStart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 –</w:t>
            </w:r>
            <w:proofErr w:type="gramEnd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гр. Тетевен: около общежитието е необходимо да се ограничи скоростта на преминаващите МПС, за което е уведомена общината;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НУ „Хаджи Генчо“ – гр. Тетевен: освежаване на пешеходните пътеки на ул. „Димитър Благоев“.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Троян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- ДГ „Незабравка“ – гр. Троян: поставяне на пътен знак „Внимание деца“; 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НУ „Св. Св. Кирил и Методий“ – гр. Троян: необходимост от обезопасяване на района със знаци на ул. „Христо Ботев“ при входа за училищния двор до спортна зала „Чавдар“;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ОУ „Иван Вазов“ – с. Дебнево: да бъде поставен парапет на улицата пред входа на училището; знак за ограничаване на скоростта; знак „Внимание деца“;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ПГМЕТ „Акад. Ангел Балевски</w:t>
            </w:r>
            <w:proofErr w:type="gramStart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 –</w:t>
            </w:r>
            <w:proofErr w:type="gramEnd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гр. Троян: освежаване на пешеходните пътеки; ремонт на тротоара по ул. „34-ти Троянски полк“, покрай училищната ограда – поради липса на плочки е израсла трева и храсти, които го правят неизползваем от пешеходците.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Угърчин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ДГ „Светулка“ – гр. Угърчин: района около детската градина вече е обезопасен в резултат на осъществените действия от общината след уведомяване от комисията по БДП;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ОУ „Св. Паисий Хилендарски“ – с. Лесидрен: поставяне на метални пана по тротоара пред входа на училището (съгласувано е с община Угърчин);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СУ „Св. Св. Кирил и Методий</w:t>
            </w:r>
            <w:proofErr w:type="gramStart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 –</w:t>
            </w:r>
            <w:proofErr w:type="gramEnd"/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гр. Угърчин: поставяне на „легнали полицаи“, за което има споразумение с община Угърчин.</w:t>
            </w:r>
          </w:p>
          <w:p w:rsidR="008E33C5" w:rsidRPr="0057182A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Община Ябланица</w:t>
            </w:r>
          </w:p>
          <w:p w:rsidR="008E33C5" w:rsidRPr="007050F3" w:rsidRDefault="008E33C5" w:rsidP="008E33C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718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ОУ „Христо Ботев“ – с. Брестница: поставяне на „легнал полицай“ и поставяне на соларни пътни знаци за обозначаване на пешеходните пътеки от двете страни на училището.</w:t>
            </w:r>
          </w:p>
          <w:p w:rsidR="00E15B79" w:rsidRDefault="00E15B79" w:rsidP="008E0047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E15B79" w:rsidRDefault="00E15B79" w:rsidP="008E33C5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Default="00C11FFD" w:rsidP="00166A8C">
      <w:pPr>
        <w:jc w:val="both"/>
        <w:rPr>
          <w:b/>
          <w:sz w:val="8"/>
          <w:szCs w:val="8"/>
          <w:lang w:val="bg-BG"/>
        </w:rPr>
      </w:pPr>
    </w:p>
    <w:p w:rsidR="00E15B79" w:rsidRDefault="00E15B79" w:rsidP="00166A8C">
      <w:pPr>
        <w:jc w:val="both"/>
        <w:rPr>
          <w:b/>
          <w:sz w:val="8"/>
          <w:szCs w:val="8"/>
          <w:lang w:val="bg-BG"/>
        </w:rPr>
      </w:pPr>
    </w:p>
    <w:p w:rsidR="00E15B79" w:rsidRPr="00E15B79" w:rsidRDefault="00E15B79" w:rsidP="00E15B79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E15B79">
        <w:rPr>
          <w:rFonts w:ascii="Verdana" w:hAnsi="Verdana"/>
          <w:b/>
          <w:sz w:val="20"/>
          <w:szCs w:val="20"/>
          <w:lang w:val="bg-BG"/>
        </w:rPr>
        <w:t xml:space="preserve">Изказвания на членове на ОКБДП: </w:t>
      </w:r>
      <w:r w:rsidR="008E33C5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p w:rsidR="00E15B79" w:rsidRPr="00C11FFD" w:rsidRDefault="00E15B79" w:rsidP="00E15B79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E15B79" w:rsidRPr="00E15B79" w:rsidRDefault="00E15B79" w:rsidP="00E15B79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E15B79">
        <w:rPr>
          <w:rFonts w:ascii="Verdana" w:hAnsi="Verdana"/>
          <w:b/>
          <w:sz w:val="20"/>
          <w:szCs w:val="20"/>
          <w:lang w:val="bg-BG"/>
        </w:rPr>
        <w:t>5.</w:t>
      </w:r>
      <w:r w:rsidRPr="00E15B79">
        <w:rPr>
          <w:rFonts w:ascii="Verdana" w:hAnsi="Verdana"/>
          <w:b/>
          <w:sz w:val="20"/>
          <w:szCs w:val="20"/>
          <w:lang w:val="bg-BG"/>
        </w:rPr>
        <w:tab/>
        <w:t>Приема отчетената информация за сведение.</w:t>
      </w:r>
    </w:p>
    <w:p w:rsidR="00AD4B4B" w:rsidRDefault="00AD4B4B" w:rsidP="00AD4B4B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4</w:t>
      </w:r>
    </w:p>
    <w:p w:rsidR="00AD4B4B" w:rsidRPr="00E15B79" w:rsidRDefault="00E15B79" w:rsidP="00AD4B4B">
      <w:pPr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Обсъждане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Правила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предоставяне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финансова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подкрепа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общините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през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2023 г.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от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Държавна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агенция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„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Безопасност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движението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пътищата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“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изпълнение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процедура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управление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безопасността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пътната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инфраструктура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–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целенасочени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инспекции</w:t>
      </w:r>
      <w:proofErr w:type="spellEnd"/>
      <w:r w:rsidRP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пътна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безопасност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и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изпълнение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преки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коригиращи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действия</w:t>
      </w:r>
      <w:proofErr w:type="spellEnd"/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  <w:lang w:val="bg-BG"/>
        </w:rPr>
        <w:t>.</w:t>
      </w:r>
    </w:p>
    <w:p w:rsidR="00E15B79" w:rsidRDefault="00E15B79" w:rsidP="00AD4B4B">
      <w:pPr>
        <w:jc w:val="both"/>
        <w:rPr>
          <w:b/>
          <w:lang w:val="bg-BG"/>
        </w:rPr>
      </w:pP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="00E15B79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Секретар на ОКБДП</w:t>
      </w:r>
    </w:p>
    <w:p w:rsidR="00AD4B4B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8E33C5" w:rsidRPr="0057182A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82A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тази </w:t>
      </w:r>
      <w:r w:rsidRPr="0057182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точка бяха предоставени детайли около </w:t>
      </w:r>
      <w:r w:rsidRPr="005718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57182A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57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1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предоставяне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финансова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подкрепа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общините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през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2023 г. </w:t>
      </w:r>
      <w:proofErr w:type="spellStart"/>
      <w:proofErr w:type="gramStart"/>
      <w:r w:rsidRPr="0057182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Държавна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агенция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Безопасност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движението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пътищата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изпълнение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процедура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управление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безопасността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пътната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инфраструктура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целенасочени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инспекции</w:t>
      </w:r>
      <w:proofErr w:type="spellEnd"/>
      <w:r w:rsidRPr="0057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пътна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безопасност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изпълнение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преки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коригиращи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</w:rPr>
        <w:t>действия</w:t>
      </w:r>
      <w:proofErr w:type="spellEnd"/>
    </w:p>
    <w:p w:rsidR="008E33C5" w:rsidRPr="00D36F5D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тази точка бяха обсъдени възможностите за кандидатстване за предоставяне на финансова подкрепа от страна на ДАБДП към общините от областта и сроковете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кандидатствене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8E33C5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p w:rsidR="00AD4B4B" w:rsidRPr="00C11FFD" w:rsidRDefault="00AD4B4B" w:rsidP="00AD4B4B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AD4B4B" w:rsidRPr="009455AC" w:rsidRDefault="00AD4B4B" w:rsidP="00AD4B4B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166A8C" w:rsidRPr="00C462ED" w:rsidRDefault="00C462ED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ОКБДП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закри заседанието в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………………….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</w:p>
    <w:p w:rsidR="00E15B79" w:rsidRDefault="00E15B79" w:rsidP="00E15B79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5</w:t>
      </w:r>
    </w:p>
    <w:p w:rsidR="00E15B79" w:rsidRPr="00E15B79" w:rsidRDefault="00E15B79" w:rsidP="00E15B79">
      <w:pPr>
        <w:jc w:val="both"/>
        <w:rPr>
          <w:b/>
          <w:lang w:val="bg-BG"/>
        </w:rPr>
      </w:pP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Организация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за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участие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в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мероприятия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,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свързани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с „29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юни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–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ден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безопасността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движение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пътищата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“,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съгласно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възможностите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, с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които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разполага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всяка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институция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,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която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има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отношение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по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проблемите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безопасност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на</w:t>
      </w:r>
      <w:proofErr w:type="spellEnd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E15B79"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</w:rPr>
        <w:t>движението</w:t>
      </w:r>
      <w:proofErr w:type="spellEnd"/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szCs w:val="20"/>
          <w:lang w:val="bg-BG"/>
        </w:rPr>
        <w:t>.</w:t>
      </w:r>
    </w:p>
    <w:p w:rsidR="00E15B79" w:rsidRPr="00C11FFD" w:rsidRDefault="00E15B79" w:rsidP="00E15B79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Секретар на ОКБДП</w:t>
      </w:r>
    </w:p>
    <w:p w:rsidR="00E15B79" w:rsidRDefault="00E15B79" w:rsidP="00E15B79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8E33C5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7182A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В 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ази</w:t>
      </w:r>
      <w:r w:rsidRPr="005718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точка</w:t>
      </w:r>
      <w:r w:rsidRPr="005718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бяха обсъдени дейности съгласно възможностите на представителите в ОКБДП за участие в 29 юни ден на път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ната безопасност. В тази връзка Областна администрация Ловеч ще публикува на интернет страницата си постери насочени към безопасността на движение по пътищата.</w:t>
      </w:r>
    </w:p>
    <w:p w:rsidR="008E33C5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Община Априлци</w:t>
      </w:r>
    </w:p>
    <w:p w:rsidR="008E33C5" w:rsidRPr="00F63B90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безопасността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пътищата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мероприятие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съвместно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с РУ -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Троян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детска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градина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Априлче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", с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опознаване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обстановката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пътя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пресичане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опознаване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90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F63B90">
        <w:rPr>
          <w:rFonts w:ascii="Times New Roman" w:hAnsi="Times New Roman" w:cs="Times New Roman"/>
          <w:sz w:val="24"/>
          <w:szCs w:val="24"/>
        </w:rPr>
        <w:t>.</w:t>
      </w:r>
    </w:p>
    <w:p w:rsidR="008E33C5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E33C5" w:rsidRDefault="008E33C5" w:rsidP="008E33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Община Луковит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публикува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6бр. </w:t>
      </w:r>
      <w:proofErr w:type="spellStart"/>
      <w:proofErr w:type="gramStart"/>
      <w:r w:rsidRPr="00D36F5D">
        <w:rPr>
          <w:rFonts w:ascii="Times New Roman" w:eastAsia="Calibri" w:hAnsi="Times New Roman" w:cs="Times New Roman"/>
          <w:sz w:val="24"/>
          <w:szCs w:val="24"/>
        </w:rPr>
        <w:t>избрани</w:t>
      </w:r>
      <w:proofErr w:type="spellEnd"/>
      <w:proofErr w:type="gram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постера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страницата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общината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изнесен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дигитален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екран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сградата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</w:rPr>
        <w:t>общината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3C5" w:rsidRPr="00D36F5D" w:rsidRDefault="008E33C5" w:rsidP="008E33C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Община Тетевен </w:t>
      </w:r>
      <w:proofErr w:type="spellStart"/>
      <w:r w:rsidRPr="00D36F5D">
        <w:rPr>
          <w:rFonts w:ascii="Times New Roman" w:hAnsi="Times New Roman" w:cs="Times New Roman"/>
          <w:sz w:val="24"/>
        </w:rPr>
        <w:t>ще</w:t>
      </w:r>
      <w:proofErr w:type="spellEnd"/>
      <w:r w:rsidRPr="00D36F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раздава</w:t>
      </w:r>
      <w:proofErr w:type="spellEnd"/>
      <w:r w:rsidRPr="00D36F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6F5D">
        <w:rPr>
          <w:rFonts w:ascii="Times New Roman" w:hAnsi="Times New Roman" w:cs="Times New Roman"/>
          <w:sz w:val="24"/>
        </w:rPr>
        <w:t>стикери</w:t>
      </w:r>
      <w:proofErr w:type="spellEnd"/>
      <w:r w:rsidRPr="00D36F5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36F5D">
        <w:rPr>
          <w:rFonts w:ascii="Times New Roman" w:hAnsi="Times New Roman" w:cs="Times New Roman"/>
          <w:sz w:val="24"/>
        </w:rPr>
        <w:t>флаери</w:t>
      </w:r>
      <w:proofErr w:type="spellEnd"/>
      <w:r w:rsidRPr="00D36F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6F5D">
        <w:rPr>
          <w:rFonts w:ascii="Times New Roman" w:hAnsi="Times New Roman" w:cs="Times New Roman"/>
          <w:sz w:val="24"/>
        </w:rPr>
        <w:t>на</w:t>
      </w:r>
      <w:proofErr w:type="spellEnd"/>
      <w:r w:rsidRPr="00D36F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6F5D">
        <w:rPr>
          <w:rFonts w:ascii="Times New Roman" w:hAnsi="Times New Roman" w:cs="Times New Roman"/>
          <w:sz w:val="24"/>
        </w:rPr>
        <w:t>ученици</w:t>
      </w:r>
      <w:proofErr w:type="spellEnd"/>
      <w:r w:rsidRPr="00D36F5D">
        <w:rPr>
          <w:rFonts w:ascii="Times New Roman" w:hAnsi="Times New Roman" w:cs="Times New Roman"/>
          <w:sz w:val="24"/>
        </w:rPr>
        <w:t xml:space="preserve">. </w:t>
      </w:r>
    </w:p>
    <w:p w:rsidR="008E33C5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Община Троян </w:t>
      </w:r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>В детски градини на територията на Община Троян ще се проведат занимания с най – малките.  Ще бъдат проведени кратки беседи, групови игри и др.</w:t>
      </w:r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- ДГ "Осми март" гр. Троян</w:t>
      </w: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ще отбележим 29 юни - деня на пътната безопасност с беседа и викторина на тема "Аз се движа безопасно".</w:t>
      </w:r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- ДГ "Незабравка" с. Орешак</w:t>
      </w: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ще отбележим 29 юни с провеждане на кратка беседа за правилата за движение по пътищата и припомняне на значението на пътните знаци. Подвижни игри свързани с темата. 4та група ще изработи  табло – изложба с рисунки.</w:t>
      </w:r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ИНФОРМАЦИЯ БДП - </w:t>
      </w:r>
      <w:proofErr w:type="spellStart"/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ДГ"ЗВЪНЧЕ"с.Калейца</w:t>
      </w:r>
      <w:proofErr w:type="spellEnd"/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proofErr w:type="spellStart"/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ДГ“Звънче“с.Калейца:</w:t>
      </w: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>“Движа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безопасно“ – подвижни игри.</w:t>
      </w:r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Изнесена група </w:t>
      </w:r>
      <w:proofErr w:type="spellStart"/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с.Борима</w:t>
      </w: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>:презентация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>тема:“Правилата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опознай“</w:t>
      </w:r>
    </w:p>
    <w:p w:rsidR="008E33C5" w:rsidRPr="00D36F5D" w:rsidRDefault="008E33C5" w:rsidP="008E33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Изнесена група </w:t>
      </w:r>
      <w:proofErr w:type="spellStart"/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с.Голяма</w:t>
      </w:r>
      <w:proofErr w:type="spellEnd"/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D36F5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Желязна</w:t>
      </w:r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>:презентация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„Безопасно движение на </w:t>
      </w:r>
      <w:proofErr w:type="spellStart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>улицата;изработване</w:t>
      </w:r>
      <w:proofErr w:type="spellEnd"/>
      <w:r w:rsidRPr="00D36F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групов проект „Моята улица“.</w:t>
      </w:r>
    </w:p>
    <w:p w:rsidR="00E15B79" w:rsidRPr="00C11FFD" w:rsidRDefault="00E15B79" w:rsidP="00E15B79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8E33C5">
        <w:rPr>
          <w:rFonts w:ascii="Verdana" w:eastAsia="Calibri" w:hAnsi="Verdana" w:cs="Times New Roman"/>
          <w:bCs/>
          <w:color w:val="000000"/>
          <w:sz w:val="20"/>
          <w:lang w:val="bg-BG"/>
        </w:rPr>
        <w:t>Не са постъпили коментари</w:t>
      </w:r>
    </w:p>
    <w:p w:rsidR="00E15B79" w:rsidRPr="00C11FFD" w:rsidRDefault="00E15B79" w:rsidP="00E15B79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E15B79" w:rsidRDefault="00E15B79" w:rsidP="00E15B79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6</w:t>
      </w:r>
    </w:p>
    <w:p w:rsidR="00E15B79" w:rsidRPr="00E15B79" w:rsidRDefault="00E15B79" w:rsidP="00E15B79">
      <w:pPr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Други.</w:t>
      </w:r>
    </w:p>
    <w:p w:rsidR="00E15B79" w:rsidRPr="00C11FFD" w:rsidRDefault="00E15B79" w:rsidP="00E15B79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Секретар на ОКБДП</w:t>
      </w:r>
    </w:p>
    <w:p w:rsidR="00E15B79" w:rsidRDefault="00E15B79" w:rsidP="00E15B79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8E33C5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718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точка други беше обсъдено с представител на пожарната възможността за организация на </w:t>
      </w:r>
      <w:proofErr w:type="spellStart"/>
      <w:r w:rsidRPr="0057182A">
        <w:rPr>
          <w:rFonts w:ascii="Times New Roman" w:hAnsi="Times New Roman" w:cs="Times New Roman"/>
          <w:bCs/>
          <w:sz w:val="24"/>
          <w:szCs w:val="24"/>
          <w:lang w:val="bg-BG"/>
        </w:rPr>
        <w:t>пълномащабно</w:t>
      </w:r>
      <w:proofErr w:type="spellEnd"/>
      <w:r w:rsidRPr="005718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учение по БДП, съгласно Областната план-програма за 2023 г.</w:t>
      </w:r>
    </w:p>
    <w:p w:rsidR="008E33C5" w:rsidRPr="0057182A" w:rsidRDefault="008E33C5" w:rsidP="008E33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Секретаря на Областната комисия предложи тазгодишното учение да се проведе в община Троян и помоли представителя на РДПБЗН Ловеч да измисли сценарии, който да е съгласуван със Сектор „Пътна полиция“. През следващите месеци ще бъде подготвено и организирано учението.</w:t>
      </w:r>
    </w:p>
    <w:p w:rsidR="00E15B79" w:rsidRDefault="00E15B79" w:rsidP="00E15B79">
      <w:pPr>
        <w:tabs>
          <w:tab w:val="left" w:pos="7125"/>
        </w:tabs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8E33C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Представителят на пожарната сподели, че е съгласен с предложението и , че екипът на </w:t>
      </w:r>
      <w:r w:rsidR="008E33C5">
        <w:rPr>
          <w:rFonts w:ascii="Times New Roman" w:hAnsi="Times New Roman" w:cs="Times New Roman"/>
          <w:bCs/>
          <w:sz w:val="24"/>
          <w:szCs w:val="24"/>
          <w:lang w:val="bg-BG"/>
        </w:rPr>
        <w:t>РДПБЗН Ловеч</w:t>
      </w:r>
      <w:r w:rsidR="008E33C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ще започне подготовка за сценарии за обучението.</w:t>
      </w:r>
    </w:p>
    <w:p w:rsidR="008E33C5" w:rsidRPr="00C11FFD" w:rsidRDefault="008E33C5" w:rsidP="00E15B79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КАТ Ловеч също подкрепиха предложението и изразиха готовност за съвместни дейности с пожарната по организацията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пълномащабнато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учение</w:t>
      </w:r>
    </w:p>
    <w:p w:rsidR="00E15B79" w:rsidRPr="00C11FFD" w:rsidRDefault="00E15B79" w:rsidP="00E15B79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  <w:r w:rsidR="008E33C5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Мястото за провеждане на учение се прие</w:t>
      </w:r>
    </w:p>
    <w:p w:rsidR="00E15B79" w:rsidRDefault="00E15B79" w:rsidP="007C519A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7C519A" w:rsidRDefault="007C519A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="00E15B7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7</w:t>
      </w:r>
    </w:p>
    <w:p w:rsidR="007C519A" w:rsidRPr="007C519A" w:rsidRDefault="001C3995" w:rsidP="007C519A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ОБОБЩЕНИЕ 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РЕШЕНИЯТА ОТ ЗАСЕДАНИЕ</w:t>
      </w:r>
      <w:r w:rsidR="00A234C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ТО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представете</w:t>
      </w: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решенията, взети по съответните точки от дневния ред и описани по-горе в текста/</w:t>
      </w:r>
    </w:p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8"/>
          <w:szCs w:val="8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632"/>
        <w:gridCol w:w="1904"/>
        <w:gridCol w:w="1843"/>
      </w:tblGrid>
      <w:tr w:rsidR="007C519A" w:rsidTr="007C519A">
        <w:tc>
          <w:tcPr>
            <w:tcW w:w="4106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2632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904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8E33C5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Организиране на пълно мащабно учение на територията на община Троян</w:t>
            </w:r>
          </w:p>
        </w:tc>
        <w:tc>
          <w:tcPr>
            <w:tcW w:w="2632" w:type="dxa"/>
          </w:tcPr>
          <w:p w:rsidR="007C519A" w:rsidRPr="007C519A" w:rsidRDefault="00F96734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</w:tc>
        <w:tc>
          <w:tcPr>
            <w:tcW w:w="1904" w:type="dxa"/>
          </w:tcPr>
          <w:p w:rsidR="007C519A" w:rsidRDefault="00F96734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секретариат на </w:t>
            </w:r>
          </w:p>
          <w:p w:rsidR="00F96734" w:rsidRDefault="00F96734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F96734" w:rsidRPr="007C519A" w:rsidRDefault="00F96734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РДПБЗН Ловеч</w:t>
            </w:r>
          </w:p>
        </w:tc>
        <w:tc>
          <w:tcPr>
            <w:tcW w:w="1843" w:type="dxa"/>
          </w:tcPr>
          <w:p w:rsidR="007C519A" w:rsidRPr="007C519A" w:rsidRDefault="00F96734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3 месеца</w:t>
            </w:r>
            <w:bookmarkStart w:id="0" w:name="_GoBack"/>
            <w:bookmarkEnd w:id="0"/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EA2DC9">
        <w:rPr>
          <w:rFonts w:ascii="Verdana" w:eastAsia="Calibri" w:hAnsi="Verdana" w:cs="Times New Roman"/>
          <w:bCs/>
          <w:color w:val="000000"/>
          <w:sz w:val="20"/>
          <w:lang w:val="bg-BG"/>
        </w:rPr>
        <w:t>12:00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 w:rsidR="008E33C5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Доклади от общините и ОПУ за извършени дейности през първите шест месеца на 2023 г., доклад от РУО Ловеч за проблемни участъци до детски градини и училища на територията на област Ловеч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…………………………………………                                           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име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/име/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EE628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AC" w:rsidRDefault="00E81DAC" w:rsidP="00EF6C12">
      <w:pPr>
        <w:spacing w:after="0" w:line="240" w:lineRule="auto"/>
      </w:pPr>
      <w:r>
        <w:separator/>
      </w:r>
    </w:p>
  </w:endnote>
  <w:endnote w:type="continuationSeparator" w:id="0">
    <w:p w:rsidR="00E81DAC" w:rsidRDefault="00E81DA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3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AC" w:rsidRDefault="00E81DAC" w:rsidP="00EF6C12">
      <w:pPr>
        <w:spacing w:after="0" w:line="240" w:lineRule="auto"/>
      </w:pPr>
      <w:r>
        <w:separator/>
      </w:r>
    </w:p>
  </w:footnote>
  <w:footnote w:type="continuationSeparator" w:id="0">
    <w:p w:rsidR="00E81DAC" w:rsidRDefault="00E81DA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7647DB0"/>
    <w:multiLevelType w:val="hybridMultilevel"/>
    <w:tmpl w:val="16307E86"/>
    <w:lvl w:ilvl="0" w:tplc="9702AD68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87" w:hanging="360"/>
      </w:pPr>
    </w:lvl>
    <w:lvl w:ilvl="2" w:tplc="0402001B" w:tentative="1">
      <w:start w:val="1"/>
      <w:numFmt w:val="lowerRoman"/>
      <w:lvlText w:val="%3."/>
      <w:lvlJc w:val="right"/>
      <w:pPr>
        <w:ind w:left="3207" w:hanging="180"/>
      </w:pPr>
    </w:lvl>
    <w:lvl w:ilvl="3" w:tplc="0402000F" w:tentative="1">
      <w:start w:val="1"/>
      <w:numFmt w:val="decimal"/>
      <w:lvlText w:val="%4."/>
      <w:lvlJc w:val="left"/>
      <w:pPr>
        <w:ind w:left="3927" w:hanging="360"/>
      </w:pPr>
    </w:lvl>
    <w:lvl w:ilvl="4" w:tplc="04020019" w:tentative="1">
      <w:start w:val="1"/>
      <w:numFmt w:val="lowerLetter"/>
      <w:lvlText w:val="%5."/>
      <w:lvlJc w:val="left"/>
      <w:pPr>
        <w:ind w:left="4647" w:hanging="360"/>
      </w:pPr>
    </w:lvl>
    <w:lvl w:ilvl="5" w:tplc="0402001B" w:tentative="1">
      <w:start w:val="1"/>
      <w:numFmt w:val="lowerRoman"/>
      <w:lvlText w:val="%6."/>
      <w:lvlJc w:val="right"/>
      <w:pPr>
        <w:ind w:left="5367" w:hanging="180"/>
      </w:pPr>
    </w:lvl>
    <w:lvl w:ilvl="6" w:tplc="0402000F" w:tentative="1">
      <w:start w:val="1"/>
      <w:numFmt w:val="decimal"/>
      <w:lvlText w:val="%7."/>
      <w:lvlJc w:val="left"/>
      <w:pPr>
        <w:ind w:left="6087" w:hanging="360"/>
      </w:pPr>
    </w:lvl>
    <w:lvl w:ilvl="7" w:tplc="04020019" w:tentative="1">
      <w:start w:val="1"/>
      <w:numFmt w:val="lowerLetter"/>
      <w:lvlText w:val="%8."/>
      <w:lvlJc w:val="left"/>
      <w:pPr>
        <w:ind w:left="6807" w:hanging="360"/>
      </w:pPr>
    </w:lvl>
    <w:lvl w:ilvl="8" w:tplc="0402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17AA0622"/>
    <w:multiLevelType w:val="hybridMultilevel"/>
    <w:tmpl w:val="ED545C0E"/>
    <w:lvl w:ilvl="0" w:tplc="9154DB62">
      <w:start w:val="1"/>
      <w:numFmt w:val="decimal"/>
      <w:lvlText w:val="%1.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B2428"/>
    <w:multiLevelType w:val="hybridMultilevel"/>
    <w:tmpl w:val="B26E9312"/>
    <w:lvl w:ilvl="0" w:tplc="A740D1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72E"/>
    <w:multiLevelType w:val="hybridMultilevel"/>
    <w:tmpl w:val="A4AE39CE"/>
    <w:lvl w:ilvl="0" w:tplc="9766D114">
      <w:start w:val="1"/>
      <w:numFmt w:val="decimal"/>
      <w:lvlText w:val="%1."/>
      <w:lvlJc w:val="left"/>
      <w:pPr>
        <w:ind w:left="1770" w:hanging="360"/>
      </w:pPr>
      <w:rPr>
        <w:rFonts w:ascii="Verdana" w:hAnsi="Verdana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2D73A2A"/>
    <w:multiLevelType w:val="hybridMultilevel"/>
    <w:tmpl w:val="862A64DC"/>
    <w:lvl w:ilvl="0" w:tplc="A99E9D5C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4"/>
  </w:num>
  <w:num w:numId="5">
    <w:abstractNumId w:val="13"/>
  </w:num>
  <w:num w:numId="6">
    <w:abstractNumId w:val="24"/>
  </w:num>
  <w:num w:numId="7">
    <w:abstractNumId w:val="11"/>
  </w:num>
  <w:num w:numId="8">
    <w:abstractNumId w:val="27"/>
  </w:num>
  <w:num w:numId="9">
    <w:abstractNumId w:val="25"/>
  </w:num>
  <w:num w:numId="10">
    <w:abstractNumId w:val="9"/>
  </w:num>
  <w:num w:numId="11">
    <w:abstractNumId w:val="37"/>
  </w:num>
  <w:num w:numId="12">
    <w:abstractNumId w:val="29"/>
  </w:num>
  <w:num w:numId="13">
    <w:abstractNumId w:val="2"/>
  </w:num>
  <w:num w:numId="14">
    <w:abstractNumId w:val="33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4"/>
  </w:num>
  <w:num w:numId="19">
    <w:abstractNumId w:val="16"/>
  </w:num>
  <w:num w:numId="20">
    <w:abstractNumId w:val="28"/>
  </w:num>
  <w:num w:numId="21">
    <w:abstractNumId w:val="19"/>
  </w:num>
  <w:num w:numId="22">
    <w:abstractNumId w:val="12"/>
  </w:num>
  <w:num w:numId="23">
    <w:abstractNumId w:val="15"/>
  </w:num>
  <w:num w:numId="24">
    <w:abstractNumId w:val="1"/>
  </w:num>
  <w:num w:numId="25">
    <w:abstractNumId w:val="31"/>
  </w:num>
  <w:num w:numId="26">
    <w:abstractNumId w:val="35"/>
  </w:num>
  <w:num w:numId="27">
    <w:abstractNumId w:val="21"/>
  </w:num>
  <w:num w:numId="28">
    <w:abstractNumId w:val="8"/>
  </w:num>
  <w:num w:numId="29">
    <w:abstractNumId w:val="18"/>
  </w:num>
  <w:num w:numId="30">
    <w:abstractNumId w:val="32"/>
  </w:num>
  <w:num w:numId="31">
    <w:abstractNumId w:val="7"/>
  </w:num>
  <w:num w:numId="32">
    <w:abstractNumId w:val="34"/>
  </w:num>
  <w:num w:numId="33">
    <w:abstractNumId w:val="38"/>
  </w:num>
  <w:num w:numId="34">
    <w:abstractNumId w:val="3"/>
  </w:num>
  <w:num w:numId="35">
    <w:abstractNumId w:val="0"/>
  </w:num>
  <w:num w:numId="36">
    <w:abstractNumId w:val="20"/>
  </w:num>
  <w:num w:numId="37">
    <w:abstractNumId w:val="6"/>
  </w:num>
  <w:num w:numId="38">
    <w:abstractNumId w:val="22"/>
  </w:num>
  <w:num w:numId="39">
    <w:abstractNumId w:val="30"/>
  </w:num>
  <w:num w:numId="4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6493E"/>
    <w:rsid w:val="00166A8C"/>
    <w:rsid w:val="00192E72"/>
    <w:rsid w:val="00196093"/>
    <w:rsid w:val="001C3995"/>
    <w:rsid w:val="001F7DC1"/>
    <w:rsid w:val="00213E9D"/>
    <w:rsid w:val="0023275B"/>
    <w:rsid w:val="0023347A"/>
    <w:rsid w:val="002418B5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33186"/>
    <w:rsid w:val="0037714F"/>
    <w:rsid w:val="00380C3E"/>
    <w:rsid w:val="00392D4A"/>
    <w:rsid w:val="003A56F6"/>
    <w:rsid w:val="003A64E0"/>
    <w:rsid w:val="003B6FB4"/>
    <w:rsid w:val="003D3593"/>
    <w:rsid w:val="00414D8F"/>
    <w:rsid w:val="00423615"/>
    <w:rsid w:val="004277C8"/>
    <w:rsid w:val="0048357F"/>
    <w:rsid w:val="0049043B"/>
    <w:rsid w:val="004B7B7E"/>
    <w:rsid w:val="004C2CC3"/>
    <w:rsid w:val="004C31F4"/>
    <w:rsid w:val="004E0A0D"/>
    <w:rsid w:val="004E6935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49C"/>
    <w:rsid w:val="005C1484"/>
    <w:rsid w:val="005C7F85"/>
    <w:rsid w:val="005F4F2D"/>
    <w:rsid w:val="006026FE"/>
    <w:rsid w:val="00603A60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6E23FC"/>
    <w:rsid w:val="00723750"/>
    <w:rsid w:val="00751264"/>
    <w:rsid w:val="00762F5A"/>
    <w:rsid w:val="00783454"/>
    <w:rsid w:val="0079586E"/>
    <w:rsid w:val="007C0DF5"/>
    <w:rsid w:val="007C50F0"/>
    <w:rsid w:val="007C519A"/>
    <w:rsid w:val="007C6358"/>
    <w:rsid w:val="007F028B"/>
    <w:rsid w:val="007F365C"/>
    <w:rsid w:val="00846298"/>
    <w:rsid w:val="0088425D"/>
    <w:rsid w:val="00895A66"/>
    <w:rsid w:val="008B2C16"/>
    <w:rsid w:val="008C55E6"/>
    <w:rsid w:val="008E33C5"/>
    <w:rsid w:val="00917CE0"/>
    <w:rsid w:val="00925328"/>
    <w:rsid w:val="00937F0E"/>
    <w:rsid w:val="009455AC"/>
    <w:rsid w:val="009C0D77"/>
    <w:rsid w:val="009D1280"/>
    <w:rsid w:val="009E0AF7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D4B4B"/>
    <w:rsid w:val="00AE13D3"/>
    <w:rsid w:val="00AF4C36"/>
    <w:rsid w:val="00B00A48"/>
    <w:rsid w:val="00B01139"/>
    <w:rsid w:val="00B10EF6"/>
    <w:rsid w:val="00B13AE2"/>
    <w:rsid w:val="00B17988"/>
    <w:rsid w:val="00B21AC2"/>
    <w:rsid w:val="00B338F8"/>
    <w:rsid w:val="00B379D4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C11FFD"/>
    <w:rsid w:val="00C27950"/>
    <w:rsid w:val="00C42460"/>
    <w:rsid w:val="00C462ED"/>
    <w:rsid w:val="00C53324"/>
    <w:rsid w:val="00C621B4"/>
    <w:rsid w:val="00C7710B"/>
    <w:rsid w:val="00CA3007"/>
    <w:rsid w:val="00CA3121"/>
    <w:rsid w:val="00CC1AC7"/>
    <w:rsid w:val="00CD42C5"/>
    <w:rsid w:val="00CD7756"/>
    <w:rsid w:val="00CF08F8"/>
    <w:rsid w:val="00D024A7"/>
    <w:rsid w:val="00D25B51"/>
    <w:rsid w:val="00D35E45"/>
    <w:rsid w:val="00DB719B"/>
    <w:rsid w:val="00DF643C"/>
    <w:rsid w:val="00E136A6"/>
    <w:rsid w:val="00E15B79"/>
    <w:rsid w:val="00E214A1"/>
    <w:rsid w:val="00E227D2"/>
    <w:rsid w:val="00E23A57"/>
    <w:rsid w:val="00E351AF"/>
    <w:rsid w:val="00E72B66"/>
    <w:rsid w:val="00E81DAC"/>
    <w:rsid w:val="00E900D3"/>
    <w:rsid w:val="00E96330"/>
    <w:rsid w:val="00EA2DC9"/>
    <w:rsid w:val="00EB1EFD"/>
    <w:rsid w:val="00ED6CA4"/>
    <w:rsid w:val="00ED6F14"/>
    <w:rsid w:val="00EE6288"/>
    <w:rsid w:val="00EF0224"/>
    <w:rsid w:val="00EF6C12"/>
    <w:rsid w:val="00F0114C"/>
    <w:rsid w:val="00F167B3"/>
    <w:rsid w:val="00F4631D"/>
    <w:rsid w:val="00F57116"/>
    <w:rsid w:val="00F608AB"/>
    <w:rsid w:val="00F6420C"/>
    <w:rsid w:val="00F83E7B"/>
    <w:rsid w:val="00F84B8D"/>
    <w:rsid w:val="00F9063F"/>
    <w:rsid w:val="00F95A98"/>
    <w:rsid w:val="00F96734"/>
    <w:rsid w:val="00FB3E21"/>
    <w:rsid w:val="00FD3E1C"/>
    <w:rsid w:val="00FF2599"/>
    <w:rsid w:val="00FF372D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65C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aliases w:val="List1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2E14-D965-4B17-A414-4CBCF69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Hristo P. Troanski</cp:lastModifiedBy>
  <cp:revision>7</cp:revision>
  <dcterms:created xsi:type="dcterms:W3CDTF">2023-07-03T12:55:00Z</dcterms:created>
  <dcterms:modified xsi:type="dcterms:W3CDTF">2023-07-04T06:55:00Z</dcterms:modified>
</cp:coreProperties>
</file>